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собрание акушеров-гинекологов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РОАГ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«Алтайский форум акушеров-гинекологов»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Барнаул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октября 2024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очный формат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академических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часов – 6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pStyle w:val="88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numPr>
          <w:ilvl w:val="0"/>
          <w:numId w:val="2"/>
        </w:numPr>
        <w:ind w:left="426" w:hanging="284"/>
        <w:spacing w:line="276" w:lineRule="auto"/>
        <w:rPr>
          <w:rStyle w:val="88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Министерство здравоохранения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Алтайского края</w:t>
      </w:r>
      <w:r>
        <w:rPr>
          <w:rStyle w:val="888"/>
          <w:rFonts w:ascii="Times New Roman" w:hAnsi="Times New Roman" w:cs="Times New Roman"/>
          <w:sz w:val="24"/>
          <w:szCs w:val="24"/>
        </w:rPr>
        <w:t xml:space="preserve">;</w:t>
      </w:r>
      <w:r>
        <w:rPr>
          <w:rStyle w:val="888"/>
          <w:rFonts w:ascii="Times New Roman" w:hAnsi="Times New Roman" w:cs="Times New Roman"/>
          <w:sz w:val="24"/>
          <w:szCs w:val="24"/>
        </w:rPr>
      </w:r>
      <w:r>
        <w:rPr>
          <w:rStyle w:val="888"/>
          <w:rFonts w:ascii="Times New Roman" w:hAnsi="Times New Roman" w:cs="Times New Roman"/>
          <w:sz w:val="24"/>
          <w:szCs w:val="24"/>
        </w:rPr>
      </w:r>
    </w:p>
    <w:p>
      <w:pPr>
        <w:pStyle w:val="883"/>
        <w:numPr>
          <w:ilvl w:val="0"/>
          <w:numId w:val="2"/>
        </w:numPr>
        <w:ind w:left="426" w:hanging="284"/>
        <w:spacing w:line="276" w:lineRule="auto"/>
        <w:rPr>
          <w:rStyle w:val="888"/>
          <w:rFonts w:ascii="Times New Roman" w:hAnsi="Times New Roman" w:cs="Times New Roman"/>
          <w:sz w:val="24"/>
          <w:szCs w:val="24"/>
        </w:rPr>
      </w:pPr>
      <w:r>
        <w:rPr>
          <w:rStyle w:val="888"/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Федерации;</w:t>
      </w:r>
      <w:r>
        <w:rPr>
          <w:rStyle w:val="888"/>
          <w:rFonts w:ascii="Times New Roman" w:hAnsi="Times New Roman" w:cs="Times New Roman"/>
          <w:sz w:val="24"/>
          <w:szCs w:val="24"/>
        </w:rPr>
      </w:r>
      <w:r>
        <w:rPr>
          <w:rStyle w:val="888"/>
          <w:rFonts w:ascii="Times New Roman" w:hAnsi="Times New Roman" w:cs="Times New Roman"/>
          <w:sz w:val="24"/>
          <w:szCs w:val="24"/>
        </w:rPr>
      </w:r>
    </w:p>
    <w:p>
      <w:pPr>
        <w:pStyle w:val="883"/>
        <w:numPr>
          <w:ilvl w:val="0"/>
          <w:numId w:val="2"/>
        </w:numPr>
        <w:ind w:left="426" w:hanging="284"/>
        <w:spacing w:line="276" w:lineRule="auto"/>
        <w:rPr>
          <w:rStyle w:val="88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общество акушеров-гинекологов.</w:t>
      </w:r>
      <w:r>
        <w:rPr>
          <w:rStyle w:val="887"/>
          <w:rFonts w:ascii="Times New Roman" w:hAnsi="Times New Roman" w:cs="Times New Roman"/>
          <w:sz w:val="24"/>
          <w:szCs w:val="24"/>
        </w:rPr>
      </w:r>
      <w:r>
        <w:rPr>
          <w:rStyle w:val="887"/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17 октября 2024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spacing w:line="276" w:lineRule="auto"/>
      </w:pPr>
      <w:r>
        <w:rPr>
          <w:b/>
        </w:rPr>
        <w:t xml:space="preserve">Место проведения: </w:t>
      </w:r>
      <w:r>
        <w:t xml:space="preserve">г. Барнаул. ул. Фомина, д. 154 (КГБУЗ «Алтайский краевой клинический перинатальный центр»).</w:t>
      </w:r>
      <w:r/>
    </w:p>
    <w:p>
      <w:pPr>
        <w:pStyle w:val="879"/>
        <w:spacing w:line="276" w:lineRule="auto"/>
      </w:pPr>
      <w:r>
        <w:rPr>
          <w:b/>
        </w:rPr>
        <w:t xml:space="preserve">Сайт: </w:t>
      </w:r>
      <w:hyperlink r:id="rId9" w:tooltip="https://gynecology.school/events/regionalnoe-sobranie-g-barnaul/" w:history="1">
        <w:r>
          <w:rPr>
            <w:rStyle w:val="896"/>
          </w:rPr>
          <w:t xml:space="preserve">https://gynecology.school/events/regionalnoe-sobranie-g-barnaul/</w:t>
        </w:r>
      </w:hyperlink>
      <w:r/>
      <w:r/>
    </w:p>
    <w:p>
      <w:pPr>
        <w:spacing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Образовательные цели: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усвоение опыта ведущих специалистов отрасли и внедрение современных технологий и методик в клиническую практику акушеров-гинекологов, эндокринологов и врачей обще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практики (семейных врачей) для повышения эффективности лечебно-диагностического и профилактического процессов.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</w:r>
    </w:p>
    <w:p>
      <w:pPr>
        <w:pStyle w:val="879"/>
        <w:spacing w:line="276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По итогам участия в региональном собрании слушатели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смогут составлять алгоритмы обследования, интерпретировать результаты клинических, лабора</w:t>
      </w:r>
      <w:r>
        <w:rPr>
          <w:color w:val="000000" w:themeColor="text1"/>
        </w:rPr>
        <w:t xml:space="preserve">торных и инструментальных исследований, производить своевременную терапию выявленных нарушений и выбирать тактику ведения акушерских и гинекологических пациенток, осуществлять контроль эффективности лечения и при необходимости корректировать его. Участники</w:t>
      </w:r>
      <w:r>
        <w:rPr>
          <w:color w:val="000000" w:themeColor="text1"/>
        </w:rPr>
        <w:t xml:space="preserve"> смогут применять междисциплинарный подход к ведению беременности и родов высокого риска, терапии гинекологических заболеваний, что будет способствовать снижению числа осложнений, репродуктивных потерь, повышению качества оказания квалифицированной помощи </w:t>
      </w:r>
      <w:r>
        <w:rPr>
          <w:color w:val="000000" w:themeColor="text1"/>
        </w:rPr>
        <w:t xml:space="preserve">и улучшению здоровья и качества жизни пациенток.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3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 обсуждению будут представлены вопросы:</w:t>
      </w:r>
      <w:r>
        <w:rPr>
          <w:rFonts w:ascii="Times New Roman" w:hAnsi="Times New Roman" w:cs="Times New Roman"/>
          <w:bCs/>
          <w:sz w:val="24"/>
          <w:szCs w:val="24"/>
        </w:rPr>
        <w:t xml:space="preserve"> эволюция подготовки кадров акушерско-гинекологического профиля, профилактика ранних репродуктивных потерь в группах риска, внутриутробное инфицирование, эндометриаль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ная дисфункция,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диагностические ошибки при ведении пациенток с патологией шейки матки,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негормональной коррекции эстрогенного гомеостаза при эстрогензависимых состояниях, коррекция последствий кровопотери при аномальных маточных кровотечениях у женщин репродуктивного возраста,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влияние вирусных инфекций на репродуктивные исходы;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ктика ведения пациенток с недостаточностью тазового дна на амбулаторном приеме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пролапс тазовых органов с позиций клинического мышления, хирургия пролапса тазовых органов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возможности нехирургической коррекции недостаточности тазового дна.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8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Аудитория:</w:t>
      </w:r>
      <w:r>
        <w:rPr>
          <w:rFonts w:ascii="Times New Roman" w:hAnsi="Times New Roman" w:cs="Times New Roman"/>
          <w:sz w:val="24"/>
          <w:szCs w:val="24"/>
        </w:rPr>
        <w:t xml:space="preserve"> акуше</w:t>
      </w:r>
      <w:r>
        <w:rPr>
          <w:rFonts w:ascii="Times New Roman" w:hAnsi="Times New Roman" w:cs="Times New Roman"/>
          <w:sz w:val="24"/>
          <w:szCs w:val="24"/>
        </w:rPr>
        <w:t xml:space="preserve">ры-гинекологи, эндокринологи, врачи общей практики (семейные врачи).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spacing w:before="160" w:after="160" w:line="276" w:lineRule="auto"/>
        <w:rPr>
          <w:b/>
          <w:bCs/>
        </w:rPr>
      </w:pPr>
      <w:r>
        <w:rPr>
          <w:b/>
          <w:bCs/>
        </w:rPr>
        <w:t xml:space="preserve">РУКОВОДИТЕЛЬ НАУЧНОЙ ПРОГРАММЫ</w:t>
      </w:r>
      <w:r>
        <w:rPr>
          <w:b/>
          <w:bCs/>
        </w:rPr>
      </w:r>
      <w:r>
        <w:rPr>
          <w:b/>
          <w:bCs/>
        </w:rPr>
      </w:r>
    </w:p>
    <w:tbl>
      <w:tblPr>
        <w:tblStyle w:val="882"/>
        <w:tblW w:w="9781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pStyle w:val="879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Молчанова Ирина Владимировна</w:t>
            </w:r>
            <w:r>
              <w:rPr>
                <w:bCs/>
                <w:iCs/>
              </w:rPr>
              <w:t xml:space="preserve"> </w:t>
            </w:r>
            <w:r>
              <w:rPr>
                <w:bCs/>
                <w:iCs/>
                <w:lang w:val="ru-RU"/>
              </w:rPr>
              <w:t xml:space="preserve">–</w:t>
            </w:r>
            <w:r>
              <w:rPr>
                <w:b/>
                <w:bCs/>
                <w:i/>
                <w:iCs/>
              </w:rPr>
              <w:t xml:space="preserve"> </w:t>
            </w:r>
            <w:r>
              <w:rPr>
                <w:lang w:val="ru-RU"/>
              </w:rPr>
              <w:t xml:space="preserve">к.</w:t>
            </w:r>
            <w:r>
              <w:t xml:space="preserve"> </w:t>
            </w:r>
            <w:r>
              <w:rPr>
                <w:lang w:val="ru-RU"/>
              </w:rPr>
              <w:t xml:space="preserve">м.</w:t>
            </w:r>
            <w:r>
              <w:t xml:space="preserve"> </w:t>
            </w:r>
            <w:r>
              <w:rPr>
                <w:lang w:val="ru-RU"/>
              </w:rPr>
              <w:t xml:space="preserve">н., </w:t>
            </w:r>
            <w:r>
              <w:rPr>
                <w:rFonts w:eastAsia="Calibri"/>
                <w:lang w:val="ru-RU"/>
              </w:rPr>
              <w:t xml:space="preserve">главный внештатный специалист по гинекологии Министерства здравоохранения Алтайского края,</w:t>
            </w:r>
            <w:r>
              <w:rPr>
                <w:lang w:val="ru-RU"/>
              </w:rPr>
              <w:t xml:space="preserve"> главный врач КГБУЗ «АККП</w:t>
            </w:r>
            <w:r>
              <w:rPr>
                <w:lang w:val="ru-RU"/>
              </w:rPr>
              <w:t xml:space="preserve">Ц», доцент кафедры акушерства и гинекологии с курсом ДПО ФГБОУ ВО АГМУ Минздрава России, заслуженный работник здравоохранения РФ</w:t>
            </w:r>
            <w:r>
              <w:rPr>
                <w:rFonts w:eastAsia="Calibri"/>
                <w:lang w:val="ru-RU"/>
              </w:rPr>
              <w:t xml:space="preserve">, </w:t>
            </w:r>
            <w:r>
              <w:rPr>
                <w:lang w:val="ru-RU"/>
              </w:rPr>
              <w:t xml:space="preserve">г. Барнаул.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</w:tbl>
    <w:p>
      <w:pPr>
        <w:pStyle w:val="879"/>
        <w:spacing w:before="160" w:after="160" w:line="276" w:lineRule="auto"/>
        <w:rPr>
          <w:b/>
        </w:rPr>
      </w:pPr>
      <w:r>
        <w:rPr>
          <w:b/>
        </w:rPr>
        <w:t xml:space="preserve">СОРУКОВОДИТЕЛЬ НАУЧНОЙ ПРОГРАММЫ</w:t>
      </w:r>
      <w:r>
        <w:rPr>
          <w:b/>
        </w:rPr>
      </w:r>
      <w:r>
        <w:rPr>
          <w:b/>
        </w:rPr>
      </w:r>
    </w:p>
    <w:tbl>
      <w:tblPr>
        <w:tblStyle w:val="882"/>
        <w:tblW w:w="9781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 м. н., профессор, заведующий отделом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82"/>
        <w:tblpPr w:horzAnchor="margin" w:tblpXSpec="left" w:vertAnchor="text" w:tblpY="91" w:leftFromText="180" w:topFromText="0" w:rightFromText="180" w:bottomFromText="0"/>
        <w:tblW w:w="10031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10031"/>
      </w:tblGrid>
      <w:tr>
        <w:trPr/>
        <w:tc>
          <w:tcPr>
            <w:tcW w:w="1003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Молчанова Ирина Владимировна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главный внештатный специалист по гинекологии Министерства здравоохранения Алтайского края, главный врач КГБУЗ «АККПЦ», доцент кафедры акушерства и гинекологии с курсом ДПО ФГБОУ ВО АГМУ Минздрава России,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заслуженный работник здравоохранения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г. Барн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003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Баранов Игорь Иванович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м. 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82"/>
        <w:tblW w:w="10065" w:type="dxa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10065"/>
      </w:tblGrid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Байрамова Гюльдана Рауфовна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 д. м. н.,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заведующая по клинической работе научно-поликлинического отделения, профессор кафедры акушерства и гинекологии ДПО ФГБУ «НМИЦ АГП им. В.И. Кулакова» Минздрава России, заслуженный врач РФ, г. Москва.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 года, педагогический стаж – 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ind w:right="-38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направления научной деятельности: патологии шейки матки, влагалища и вульвы, воспалительные и инфекционные заболевания женских половых органов, вульвовагинальный кандидоз, антимикробная терапия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гинекологии, онкогинекология, кольпоскопия, гинекологическая эндокринология.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данным РИНЦ: Хирш/число публикаций/цитирования: 21/180/2437.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Донников Андрей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к. м. н., заведующий лабораторией молекулярно-генетических методов ФГБУ «НМИЦ АГП 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 Кулакова» Минздрава России, г. Москва.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«Клиническая лабораторная диагностика» – 30 лет.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молекулярная генетика в акушерстве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гинекологии.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тирования: 21/353/2284.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/>
            <w:bookmarkStart w:id="0" w:name="_Hlk178167736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Иванюк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 ультразвуковой диагностики ООО ПКД «ЗДОРОВЬЕ», г. Барнаул.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специальности «Акушерство и гинекология» – 16 лет, по специальности «Ультразвуковая диагностика» – 12 лет.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научной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ультразвуковая диагностика в акушерстве и гинекологии, дисфункция тазового дна у женщин, генитальный пролапс.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2/8/12.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Карева Елена Николаевна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– д.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н., профессор, профессор кафедры фармакологии ФГАОУ ВО Первый МГМУ им. И.М. Сеченова Минздрава России (Сеченовский Университет), г.  Москва.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r>
          </w:p>
          <w:p>
            <w:pPr>
              <w:ind w:right="-38"/>
              <w:spacing w:after="20"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«Фармакология» – 37 лет, педагогический стаж –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37 лет.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Основные направления научной дея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тельности: молекулярные механизмы действия фармакологических препаратов в норме и при патологии, фармакотерапия в гинекологии и эндокринологии, менопаузальная гормональная терапия, женские половые стероиды, антибактериальные, противовирусные, противоопухол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евые и антигистаминные препараты,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нестероидные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противовоспалительные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средства,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ингибиторы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протонной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помпы.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 данным РИНЦ: Хирш/число публикаций/цитирования: 17/269/1434.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н., профессор, заведующая кафедрой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акушерства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гинекологии ФДПО ФГБОУ ВО «ПИМУ» Минздрава России, г. Нижний Новгород.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29 лет, педагогический стаж – 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направления научной деятельности: ведение беременных высокой группы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риска, инфекционные заболевания в акушерстве и гинекологии, внутриутробное инфицирование, плацентарная недостаточность, артериальная гипертензия при беременности, преэклампсия, преждевременные роды, невынашивание беременности, гинекологическая эндокринолог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данным РИНЦ: Хирш/число публикаций/цитирования: 10/88/363.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Колядо Ольга Викторовна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 м. н.,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главный внештатный 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акушерству    Министерства здравоохранения Алтайского края, заместитель главного врача по контролю качества медицинской помощи КГБУЗ «АККПЦ»,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ассистент кафедры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акушерства и гинекологии с курсом ДПО ФГБОУ ВО АГМУ Минздрава России, г. Барнаул.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стаж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специальности «Акушерство и гинекология» – 16 лет, педагогический стаж – 3 года.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</w:p>
          <w:p>
            <w:pPr>
              <w:spacing w:line="276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направления научной деятельности: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  <w:t xml:space="preserve">невынашивание беременности, преждевременные роды, недоношенность, тяжелая церебральная ишемия у новорожденных, ведение многоплодной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  <w:t xml:space="preserve"> беременности, осложненной беременности.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данным РИНЦ: Хирш/число публикаций/цитирования: 3/29/31.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Кононова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 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н., доцент, заместитель директора ООО «МЦДПО»,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кафедра акушерства и гинекологии лечебного факультета ФГАОУ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Пирогова 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Москва.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37 лет, педагогический стаж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фекции женской репродуктивной системы, вульвовагинит, интраэпителиальные неполазии, ВПЧ-ассоциированные заболевания, противовирусная и иммуно- и антибиотикотерапия гинекологических заболеваний, рак шейки матки.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ания: 9/99/335.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Кузнецова Ирина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н., доцент кафедры акушерства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гинекологии ФДПО ФГБОУ ВО «ПИМУ» Минздрава России, заведующая гинекологическим отделением ГБУЗ НО «НОКБ им. Н.А. Семашко», г. Нижний Новгород.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специальности «Акушерство и гинекология» – 30 лет, педагогический стаж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диагностика, хирургическое и консервативное лечение патологических состояний шейки матки, заболевания вульвы и влагалища, оперативна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гинекология.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5/49/152.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Макаров Константин Юрьевич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 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н.,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доцент, декан факультета повышения квалификации и профессиональной переподготовки врачей, профессор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кафедры акушерства и гинекологии лечебного факультета ФГБОУ ВО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НГМУ Минздрава России, г. Новосибирск.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– 30 лет, по специальности «Ультразвуковая диагностика» – 17 лет, педагогический стаж – 27 лет.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воспалительные заболевания органов малого таза у женщин, урогенитальные инфекции, трансабдоминальное и трансвагинал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ьное ультразвуковое исследование органов малого таза, цервикометрия, доплерометрия, пункция образований различного расположения под ультразвуковым контролем.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8/85/229.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Молчанова Ирина Владимировна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главный внештатный специалист по гинекологии Министерства здравоохранения Алтайского края, главный врач КГБУЗ «АККПЦ», доцент кафедры акушерства и гинекологии с курсом ДПО ФГБОУ ВО АГМУ Минздрава России,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заслуженный работник здравоохранения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арнаул.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34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охрана женского репродуктивного здоровья, планирование семьи, бесплодие, ЭКО, невынашивание беременности, ведение осложненной беременности,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пренатальная диагностика, врожденные патологии плода.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12/97/606.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Николаева Мария Геннадьевна –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н., профессор кафедры акушерства и гинекологии с курсом ДПО ФГБОУ ВО АГМУ Минздрава России,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старший научный сотрудник Алтайского филиала ФГБУ «НМИЦ гематологии» Минздрава России, г. Барнаул.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 25 лет,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педагогический стаж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11 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направления научной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прегравидарная подготовка, ведение беременности и родов высокого риска, беременность у женщин старшего репродуктивного возраста, предлежание плаценты, преэклампсия, тромбофилии в акушерской практике, оценка состояния системы гемостаза при беременности.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данным РИНЦ: Хирш/число публикаций/цитирования: 10/186/392.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Песоцкая Анастасия Валентиновна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 заведующая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патологоанатомической лабораторией с отделением иммуногистохимии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КГБУЗ «АККПЦ», врач-патологоанатом, г. Барнаул.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«Патологическая анатомия» – 16 лет, педагогический стаж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5 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иммуногистохимическая и молекулярно-генетическая диагностика в патологической анатомии, патологическая анатомия перината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периода.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публикаций: 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Пивень Людмила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 к. м. н.,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детский гинеколог СФО,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заведующая гинекологическим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ГБУЗ НСО «ГНОКБ»,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кафедры акушерства и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гинекологии педиатрического факультета ФГБОУ ВО НГМУ Минздрава России, заслуженный врач РФ, г. Новосибирск.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31 год, педагогический стаж – 26 лет.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гинекологи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детского и юношеского возраста, патология эндометрия, миома матки, эндометриоз, аномалии развития половых органов.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5/20/54.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Ремнева Ольга Васильевна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д. м. н.,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  <w:t xml:space="preserve"> профессор, заведующая кафедрой </w:t>
            </w:r>
            <w:bookmarkStart w:id="1" w:name="_Hlk147307786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акушерства и гинекологии с курсом ДПО ФГБОУ ВО АГМУ Минздрава России,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Барнаул.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48" w:line="276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33 года, педагогический стаж – 28 лет.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886"/>
              <w:spacing w:before="0" w:after="48" w:line="276" w:lineRule="auto"/>
              <w:shd w:val="clear" w:color="auto" w:fill="ffffff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Основные направления научной деятельности: жен</w:t>
            </w:r>
            <w:r>
              <w:rPr>
                <w:iCs/>
                <w:lang w:val="ru-RU"/>
              </w:rPr>
              <w:t xml:space="preserve">ское репродуктивное здоровье, прегравидарная подготовка, патологический прелиминарный период, беременность высокого риска, привычное невынашивание беременности, преждевременные роды, репродуктивные потери, недоношенность, внутриутробное инфицирование, гипо</w:t>
            </w:r>
            <w:r>
              <w:rPr>
                <w:iCs/>
                <w:lang w:val="ru-RU"/>
              </w:rPr>
              <w:t xml:space="preserve">ксия плода, плацентарная недостаточность, критические акушерские состояния, преэклампсия, гестационный сахарный диабет и беременность, диабетическая фетопатия.</w:t>
            </w:r>
            <w:r>
              <w:rPr>
                <w:iCs/>
                <w:lang w:val="ru-RU"/>
              </w:rPr>
            </w:r>
            <w:r>
              <w:rPr>
                <w:iCs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9/134/336.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Чукмасова Анна Юрьевна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акушер-гинеколог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отдела контроля качества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КГБУЗ «АККПЦ», г. Барнаул.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25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клиническое акушерство и антенатальная охрана плода, привычное невынашив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бесплодие, урогинекология,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воспалительные заболевания женских половых органов,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патологии шейки матки, эндометриоз, миома матки.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1926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Шмонова Людмила Владимировна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к. м. н., врач – акушер-гинеколог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КГБУЗ «АККПЦ», г. Барнаул.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специальности «Акушерство и гинекология» – 24 года.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органосохраняющие операции в акушерстве и гинекологии, недостаточность тазовог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дна у женщин, гинекологические заболевания у женщин в климактерическом периоде.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95"/>
        </w:trPr>
        <w:tc>
          <w:tcPr>
            <w:shd w:val="clear" w:color="auto" w:fill="auto"/>
            <w:tcW w:w="10065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Щербатых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Евгения Юрьевна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к. м. н.,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ассистент кафедры акушерства и гинекологии с курсом репродуктивной медицины ЧОУ ДПО «Академия медицинского образования им. Ф.И. Иноземцева», г. Санкт-Петербург.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83"/>
              <w:ind w:right="-38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гинекология» – 15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эстетическая гинекология, пролапс гениталий, консервативное лечение недостаточности тазового дна и пролапса тазовых органов.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публикаций: 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spacing w:before="160" w:after="16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(время Барнаула)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tbl>
      <w:tblPr>
        <w:tblStyle w:val="88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8476"/>
      </w:tblGrid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60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Регистрация участников регионального собрания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 мин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Открытие. Приветственные слова: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Белоцкая Наталья Ивановна </w:t>
            </w:r>
            <w:r>
              <w:rPr>
                <w:rFonts w:ascii="Times New Roman" w:hAnsi="Times New Roman" w:cs="Times New Roman"/>
                <w:lang w:val="ru-RU"/>
              </w:rPr>
              <w:t xml:space="preserve">– заместитель министра здравоохранения Алтайского края, г. Барнаул;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Федченко Маргарита Леонидовна </w:t>
            </w:r>
            <w:r>
              <w:rPr>
                <w:rFonts w:ascii="Times New Roman" w:hAnsi="Times New Roman" w:cs="Times New Roman"/>
                <w:lang w:val="ru-RU"/>
              </w:rPr>
              <w:t xml:space="preserve">– начальник </w:t>
            </w:r>
            <w:r>
              <w:rPr>
                <w:rFonts w:ascii="Times New Roman" w:hAnsi="Times New Roman" w:cs="Times New Roman"/>
                <w:lang w:val="ru-RU"/>
              </w:rPr>
              <w:t xml:space="preserve">отдела организации медицинской помощи детскому населению и родовспоможения Минздрава Алтайского края, г. Барнаул;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Серов Владимир Николаевич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– академик РАН, д.</w:t>
            </w: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н., профессор, главный научный сотрудник отдела научно-образовательных программ ФГБУ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«НМИЦ АГП им. В.И. Кулакова» Минздрава России, президент РОАГ, заслуженный деятель науки РФ, г.</w:t>
            </w: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Москва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(в онлайн-формате);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д. м. н., профессор, заведующий отделом научно-образовательных программ ФГБУ «НМИЦ АГП им. В.И. Кулакова» Ми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нздрава России, вице-президент РОАГ, г.</w:t>
            </w: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Москва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(в онлайн-формате).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Эволюция подготовки кадров акушерско-гинекологического профиля для Алтайского края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  <w:t xml:space="preserve">Ремнева Ольга Васильевна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(Барнаул)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представленные в докладе результаты работы по подготовке кадров акушерско-гинекологического профиля для Алтайского края позволят составить актуальное представление о процессе обучения квалифицированных специалистов в области акушерства и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гинекологии.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дут обсуждены 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3"/>
              </w:numPr>
              <w:ind w:left="455" w:hanging="280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подготовки специалистов профиля «Акушерство и гинекология» в Алтайском крае;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3"/>
              </w:numPr>
              <w:ind w:left="455" w:hanging="280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инновации в сфере образования акушеров-гинекологов;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3"/>
              </w:numPr>
              <w:ind w:left="455" w:hanging="280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перспективы повышения квалификации врачей и достижения стабильности кадрового состава.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Внутриутробное инфицирование: современные аспекты и перспективы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Колядо Ольга Викторовна (Барнаул)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изучат современные аспекты и перспективы развития методов лечения внутриутробного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инфицирования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неонатальные инфекции: пути заражения, основные вирусные возбудители;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современное представление о внутриутробном инфицировании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 риска, симптомы, диагностические методы;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методы терапии и перспекти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совершенствования лечения.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Рациональное ведение осложненной беременности в новых реалиях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Каткова Надежда Юрьевна (Нижний Новгород)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red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Доклад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Лэбораториз» (не 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red"/>
                <w:lang w:val="ru-RU" w:eastAsia="en-US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red"/>
                <w:lang w:val="ru-RU" w:eastAsia="en-US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Профилактика ранних репродуктивных потерь в группах риска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Чукмасова Анна Юрьевна (Барнаул)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изучат актуальные методы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профилактики ранних репродуктивных потерь в группах риска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факторы риска и причины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ранних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репродуктивных потерь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роль прегравидарной подготовки беременных группы риска в улучшении акушерских и перинатальных исходов;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методы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профилактики ранних репродуктивных потерь.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Эндометриальная 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сфункция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Песоцкая Анастасия Валентиновна (Барнаул)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систематизируют знания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эндометриальной дисфункции.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889"/>
              <w:numPr>
                <w:ilvl w:val="0"/>
                <w:numId w:val="12"/>
              </w:numPr>
              <w:ind w:left="459" w:hanging="284"/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экспрессия рецепторов половых стероидных гормонов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ткани эндометрия в норме;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9"/>
              <w:numPr>
                <w:ilvl w:val="0"/>
                <w:numId w:val="12"/>
              </w:numPr>
              <w:ind w:left="459" w:hanging="284"/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морфофункциональные изменения эндометрия при эндометриальной дисфункции;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9"/>
              <w:numPr>
                <w:ilvl w:val="0"/>
                <w:numId w:val="12"/>
              </w:numPr>
              <w:ind w:left="459" w:hanging="284"/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морфологическая диагностика хронического эндометрита.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Воспалительные заболевания органов малого таза – возможности современной терапии. Принципы иммунотерапии при ВЗОМТ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Макаров Константин Юрьевич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(Новосибирск)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Доклад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АО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Фармстандарт» (не входит в 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12:10–12:30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Влияние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вирусных инфекций на репродуктивные исходы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Байрамова Гюльдана Рауфовна (Москва)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 участники повысят уровень знаний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влиянии вирусных инфекций на репродуктивные исходы.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/>
              </w:rPr>
              <w:t xml:space="preserve">Будут обсуждены вопросы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459" w:hanging="284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осложнения периода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гестации, связанные с вирусными инфекциями;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13"/>
              </w:numPr>
              <w:ind w:left="459" w:hanging="284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вероятность инфицирования плода;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3"/>
              </w:numPr>
              <w:ind w:left="459" w:hanging="284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состояние здоровья новорожденных, родившихся от матерей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вирусными инфекциями;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13"/>
              </w:numPr>
              <w:ind w:left="459" w:hanging="284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способы профилактики, варианты лечения в период беременности.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12:30–12:50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Диагностические ошибки при ведении пациенток с патологией шейки матки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Байрамова Гюльдана Рауфовна (Москва)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ознакомятся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распространенными диагностическими ошибками при ведении пациенток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патологией шейки 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тки, что поможет улучшить качество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5"/>
              <w:numPr>
                <w:ilvl w:val="0"/>
                <w:numId w:val="7"/>
              </w:numPr>
              <w:contextualSpacing w:val="0"/>
              <w:ind w:left="455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исследований для выявления патологий шейки матки;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95"/>
              <w:numPr>
                <w:ilvl w:val="0"/>
                <w:numId w:val="7"/>
              </w:numPr>
              <w:contextualSpacing w:val="0"/>
              <w:ind w:left="455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диагностики и дифференцирования;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5"/>
              <w:numPr>
                <w:ilvl w:val="0"/>
                <w:numId w:val="7"/>
              </w:numPr>
              <w:contextualSpacing w:val="0"/>
              <w:ind w:left="455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ошибки;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5"/>
              <w:numPr>
                <w:ilvl w:val="0"/>
                <w:numId w:val="7"/>
              </w:numPr>
              <w:contextualSpacing w:val="0"/>
              <w:ind w:left="455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окончательного диагноза.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12:50–13:10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Эстрогензависимые состояния. Возможности негормональной коррекции эстрогенного гомеостаза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Кононова Ирина Николаевна (Москва)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участники повысят уровень знаний об эстрогензави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симых состояниях, ознакомятся с возможностями коррекции эстрогенного гомеостаза.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6"/>
              </w:numPr>
              <w:ind w:left="459" w:hanging="284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строгензависимых состояний женской репродуктивной системы, сведения о патогенезе и осложнениях;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6"/>
              </w:numPr>
              <w:ind w:left="459" w:hanging="284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гормональный гомеостаз у женщин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эстрогензависимыми заболеваниями;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6"/>
              </w:numPr>
              <w:ind w:left="459" w:hanging="284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современные возможности негормональной коррекции эстрогенного гомеостаза.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13:10–13:30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Коррекция последствий кровопотери при аномальных маточных кровотечениях у женщин репродуктивного возраста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Байрамова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Гюльдана Рауфовна (Москва)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участники улучшат навыки ведения пациенток репродуктивного возраста после устранения проблемы аномального маточного кровотечения (АМК).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pStyle w:val="889"/>
              <w:numPr>
                <w:ilvl w:val="0"/>
                <w:numId w:val="8"/>
              </w:numPr>
              <w:ind w:left="459" w:hanging="283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АМК и гиповитаминоз: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взаимо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связь и важность коррекции;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9"/>
              <w:numPr>
                <w:ilvl w:val="0"/>
                <w:numId w:val="8"/>
              </w:numPr>
              <w:ind w:left="459" w:hanging="283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восполнения уровня микронутриентов в процессе прегравидарной подготовки;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9"/>
              <w:numPr>
                <w:ilvl w:val="0"/>
                <w:numId w:val="8"/>
              </w:numPr>
              <w:ind w:left="459" w:hanging="283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коррекции для поддержания репродуктивной функции.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13:30–13:40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10 мин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Ответы на вопросы. Дискуссия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13:40–14:10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Перерыв.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Кофе-брейк. Посещение выставки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19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88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Симпозиум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«Перименопаузальный период. Перспективы лечения и сохранения здоровья»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en-US"/>
              </w:rPr>
              <w:t xml:space="preserve">(при 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ООО «Эбботт Лэбораториз»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не входит в 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Стратегические направления службы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акушерства и гинекологии на современном этапе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Молчанова Ирина Владимировна (Барнаул)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Эндометриоз: эффективный подход к долгосрочному ведению пациенток после стационарного этапа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Пивень Людмила Анатольевна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(Новосибирск)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Выбор МГТ у пациенток с повышенной массой тела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Карева Елена Николаевна (Москва)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9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МГТ как стратегия активного долголетия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Каткова Надежда Юрьевна (Нижний Новгород)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Фармакология фитоэстрогенов: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мультицелевой фокус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Карева Елена Николаевна (Москва)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pStyle w:val="88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88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88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«Сложные клинические состояния в акушерстве. Как улучшить оказание помощи?»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Ранние сроки беременности: как предупредить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осложнения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spacing w:after="16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Донников Андрей Евгеньевич (Москва)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Доклад при поддержке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АО «БАЙЕР»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(не 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Фарватер гестационного благополучия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highlight w:val="yellow"/>
                <w:lang w:val="ru-RU"/>
              </w:rPr>
            </w:r>
          </w:p>
          <w:p>
            <w:pPr>
              <w:spacing w:after="160" w:line="276" w:lineRule="auto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Николаева Мария Геннадьевна (Барнаул)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Доклад при поддержке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АО «БАЙЕР»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(не 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16:35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16:40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19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«Дисфункция мышц тазового дна в практике акушера-гинеколога»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Пролапс тазовых органов с позиций клинического мышления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  <w:t xml:space="preserve">Ремнева Ольга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ru-RU"/>
              </w:rPr>
              <w:t xml:space="preserve">Васильевна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(Барнаул)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актуализируют знания о пролапсе тазовых органов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факторы риска развития пролапса тазовых органов у женщин разных возрастных категорий;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пролапса гениталий;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осложнения, социальная и психологическая значимость патологии;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современный взгляд на тактику ведения пациенток с пролапсом тазовых органов.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40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Дуэт-лекция «Амбулаторный прием по недостаточности тазового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дна»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Иванюк Ирина Сергеевна (Барнаул), Щербатых Евгения Юрьевна 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усовершенствуют навыки ведения пациенток с недостаточностью тазового дна.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рассмотрены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специфика ведения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пациенток с недостаточностью тазового дна, актуальность и распространенность проблемы;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особенности обследования;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возможности ультразвуковой диагностики недостаточности тазового дна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критерии постановки диагноза;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рекомендации по тактике ведения и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выбору метода лечения в зависимости от поставленного диагноза.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Хирургия пролапса тазовых органов: показания, выбор операции, осложнения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Кузнецова Ирина Александровна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(Нижний Новгород)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повысят уровень знаний о хирургических методах коррекции пролапса тазовых органов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показания и противопоказания к хирургическому решению проблемы пролапса тазовых органов;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алгоритм выбора хирургического метода коррекции в зависимости от результатов исследований;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лапароскопической операции и хирургической коррекции трансвагинальным доступом;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3"/>
              <w:numPr>
                <w:ilvl w:val="0"/>
                <w:numId w:val="4"/>
              </w:numPr>
              <w:ind w:left="455" w:right="142" w:hanging="284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осложнения хирургических методов и способы их профилактики.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Возможности нехирургической коррекции недостаточности тазового дна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Шмонова Людмила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(Барнаул)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участники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ознакомятся с новыми возможностями нехирургической коррекции недостаточности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тазового дна у женщин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</w:r>
          </w:p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Будут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рассмотрены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вопросы: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95"/>
              <w:numPr>
                <w:ilvl w:val="0"/>
                <w:numId w:val="9"/>
              </w:numPr>
              <w:contextualSpacing w:val="0"/>
              <w:ind w:left="395" w:hanging="262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аспекты современных методов диагностики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недостаточности тазового дна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 женщин;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95"/>
              <w:numPr>
                <w:ilvl w:val="0"/>
                <w:numId w:val="9"/>
              </w:numPr>
              <w:contextualSpacing w:val="0"/>
              <w:ind w:left="395" w:hanging="262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клинической и анатомической эффективности консервативных методов коррекции;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895"/>
              <w:numPr>
                <w:ilvl w:val="0"/>
                <w:numId w:val="9"/>
              </w:numPr>
              <w:contextualSpacing w:val="0"/>
              <w:ind w:left="395" w:hanging="262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актуальные рекомендации по персонифицированному выбору метода коррекции.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pStyle w:val="883"/>
              <w:spacing w:after="2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W w:w="1589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18:35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76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884"/>
                <w:rFonts w:ascii="Times New Roman" w:hAnsi="Times New Roman" w:eastAsia="Times New Roman" w:cs="Times New Roman"/>
                <w:b w:val="0"/>
                <w:i/>
                <w:sz w:val="24"/>
                <w:szCs w:val="24"/>
                <w:lang w:val="ru-RU"/>
              </w:rPr>
              <w:t xml:space="preserve">Закрытие регионального собрания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_____________ / Молчанова И.В.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3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  <w:spacing w:before="0" w:beforeAutospacing="0" w:after="10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2 Char"/>
    <w:basedOn w:val="841"/>
    <w:link w:val="833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841"/>
    <w:link w:val="834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841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6 Char"/>
    <w:basedOn w:val="841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841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84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841"/>
    <w:link w:val="840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841"/>
    <w:link w:val="853"/>
    <w:uiPriority w:val="10"/>
    <w:rPr>
      <w:sz w:val="48"/>
      <w:szCs w:val="48"/>
    </w:rPr>
  </w:style>
  <w:style w:type="character" w:styleId="688">
    <w:name w:val="Subtitle Char"/>
    <w:basedOn w:val="841"/>
    <w:link w:val="855"/>
    <w:uiPriority w:val="11"/>
    <w:rPr>
      <w:sz w:val="24"/>
      <w:szCs w:val="24"/>
    </w:rPr>
  </w:style>
  <w:style w:type="character" w:styleId="689">
    <w:name w:val="Quote Char"/>
    <w:link w:val="860"/>
    <w:uiPriority w:val="29"/>
    <w:rPr>
      <w:i/>
    </w:rPr>
  </w:style>
  <w:style w:type="character" w:styleId="690">
    <w:name w:val="Intense Quote Char"/>
    <w:link w:val="862"/>
    <w:uiPriority w:val="30"/>
    <w:rPr>
      <w:i/>
    </w:rPr>
  </w:style>
  <w:style w:type="character" w:styleId="691">
    <w:name w:val="Footer Char"/>
    <w:basedOn w:val="841"/>
    <w:link w:val="876"/>
    <w:uiPriority w:val="99"/>
  </w:style>
  <w:style w:type="character" w:styleId="692">
    <w:name w:val="Caption Char"/>
    <w:basedOn w:val="878"/>
    <w:link w:val="876"/>
    <w:uiPriority w:val="99"/>
  </w:style>
  <w:style w:type="table" w:styleId="693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Footnote Text Char"/>
    <w:link w:val="867"/>
    <w:uiPriority w:val="99"/>
    <w:rPr>
      <w:sz w:val="18"/>
    </w:rPr>
  </w:style>
  <w:style w:type="character" w:styleId="819">
    <w:name w:val="Endnote Text Char"/>
    <w:link w:val="870"/>
    <w:uiPriority w:val="99"/>
    <w:rPr>
      <w:sz w:val="20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cs="Calibri"/>
      <w:lang w:eastAsia="ru-RU"/>
    </w:rPr>
  </w:style>
  <w:style w:type="paragraph" w:styleId="832">
    <w:name w:val="Heading 1"/>
    <w:basedOn w:val="831"/>
    <w:link w:val="899"/>
    <w:uiPriority w:val="9"/>
    <w:qFormat/>
    <w:pPr>
      <w:jc w:val="left"/>
      <w:spacing w:before="10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33">
    <w:name w:val="Heading 2"/>
    <w:link w:val="84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34">
    <w:name w:val="Heading 3"/>
    <w:link w:val="84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35">
    <w:name w:val="Heading 4"/>
    <w:link w:val="84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836">
    <w:name w:val="Heading 5"/>
    <w:basedOn w:val="831"/>
    <w:next w:val="831"/>
    <w:link w:val="900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837">
    <w:name w:val="Heading 6"/>
    <w:link w:val="849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838">
    <w:name w:val="Heading 7"/>
    <w:link w:val="850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9">
    <w:name w:val="Heading 8"/>
    <w:link w:val="851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840">
    <w:name w:val="Heading 9"/>
    <w:link w:val="852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Heading 1 Char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45" w:customStyle="1">
    <w:name w:val="Заголовок 2 Знак"/>
    <w:link w:val="83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46" w:customStyle="1">
    <w:name w:val="Заголовок 3 Знак"/>
    <w:link w:val="83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47" w:customStyle="1">
    <w:name w:val="Заголовок 4 Знак"/>
    <w:link w:val="83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848" w:customStyle="1">
    <w:name w:val="Heading 5 Char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49" w:customStyle="1">
    <w:name w:val="Заголовок 6 Знак"/>
    <w:link w:val="83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50" w:customStyle="1">
    <w:name w:val="Заголовок 7 Знак"/>
    <w:link w:val="838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51" w:customStyle="1">
    <w:name w:val="Заголовок 8 Знак"/>
    <w:link w:val="83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852" w:customStyle="1">
    <w:name w:val="Заголовок 9 Знак"/>
    <w:link w:val="84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853">
    <w:name w:val="Title"/>
    <w:link w:val="854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54" w:customStyle="1">
    <w:name w:val="Заголовок Знак"/>
    <w:link w:val="85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855">
    <w:name w:val="Subtitle"/>
    <w:link w:val="856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56" w:customStyle="1">
    <w:name w:val="Подзаголовок Знак"/>
    <w:link w:val="855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57">
    <w:name w:val="Subtle Emphasis"/>
    <w:uiPriority w:val="19"/>
    <w:qFormat/>
    <w:rPr>
      <w:i/>
      <w:iCs/>
      <w:color w:val="808080" w:themeColor="text1" w:themeTint="7F"/>
    </w:rPr>
  </w:style>
  <w:style w:type="character" w:styleId="858">
    <w:name w:val="Emphasis"/>
    <w:uiPriority w:val="20"/>
    <w:qFormat/>
    <w:rPr>
      <w:i/>
      <w:iCs/>
    </w:rPr>
  </w:style>
  <w:style w:type="character" w:styleId="85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860">
    <w:name w:val="Quote"/>
    <w:link w:val="861"/>
    <w:uiPriority w:val="29"/>
    <w:qFormat/>
    <w:rPr>
      <w:i/>
      <w:iCs/>
      <w:color w:val="000000" w:themeColor="text1"/>
    </w:rPr>
  </w:style>
  <w:style w:type="character" w:styleId="861" w:customStyle="1">
    <w:name w:val="Цитата 2 Знак"/>
    <w:link w:val="860"/>
    <w:uiPriority w:val="29"/>
    <w:rPr>
      <w:i/>
      <w:iCs/>
      <w:color w:val="000000" w:themeColor="text1"/>
    </w:rPr>
  </w:style>
  <w:style w:type="paragraph" w:styleId="862">
    <w:name w:val="Intense Quote"/>
    <w:link w:val="863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863" w:customStyle="1">
    <w:name w:val="Выделенная цитата Знак"/>
    <w:link w:val="862"/>
    <w:uiPriority w:val="30"/>
    <w:rPr>
      <w:b/>
      <w:bCs/>
      <w:i/>
      <w:iCs/>
      <w:color w:val="5b9bd5" w:themeColor="accent1"/>
    </w:rPr>
  </w:style>
  <w:style w:type="character" w:styleId="864">
    <w:name w:val="Subtle Reference"/>
    <w:uiPriority w:val="31"/>
    <w:qFormat/>
    <w:rPr>
      <w:smallCaps/>
      <w:color w:val="ed7d31" w:themeColor="accent2"/>
      <w:u w:val="single"/>
    </w:rPr>
  </w:style>
  <w:style w:type="character" w:styleId="865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866">
    <w:name w:val="Book Title"/>
    <w:uiPriority w:val="33"/>
    <w:qFormat/>
    <w:rPr>
      <w:b/>
      <w:bCs/>
      <w:smallCaps/>
      <w:spacing w:val="5"/>
    </w:rPr>
  </w:style>
  <w:style w:type="paragraph" w:styleId="867">
    <w:name w:val="footnote text"/>
    <w:link w:val="868"/>
    <w:uiPriority w:val="99"/>
    <w:semiHidden/>
    <w:unhideWhenUsed/>
    <w:pPr>
      <w:spacing w:after="0"/>
    </w:pPr>
    <w:rPr>
      <w:sz w:val="20"/>
      <w:szCs w:val="20"/>
    </w:rPr>
  </w:style>
  <w:style w:type="character" w:styleId="868" w:customStyle="1">
    <w:name w:val="Текст сноски Знак"/>
    <w:link w:val="867"/>
    <w:uiPriority w:val="99"/>
    <w:semiHidden/>
    <w:rPr>
      <w:sz w:val="20"/>
      <w:szCs w:val="20"/>
    </w:rPr>
  </w:style>
  <w:style w:type="character" w:styleId="869">
    <w:name w:val="footnote reference"/>
    <w:uiPriority w:val="99"/>
    <w:semiHidden/>
    <w:unhideWhenUsed/>
    <w:rPr>
      <w:vertAlign w:val="superscript"/>
    </w:rPr>
  </w:style>
  <w:style w:type="paragraph" w:styleId="870">
    <w:name w:val="endnote text"/>
    <w:link w:val="871"/>
    <w:uiPriority w:val="99"/>
    <w:semiHidden/>
    <w:unhideWhenUsed/>
    <w:pPr>
      <w:spacing w:after="0"/>
    </w:pPr>
    <w:rPr>
      <w:sz w:val="20"/>
      <w:szCs w:val="20"/>
    </w:rPr>
  </w:style>
  <w:style w:type="character" w:styleId="871" w:customStyle="1">
    <w:name w:val="Текст концевой сноски Знак"/>
    <w:link w:val="870"/>
    <w:uiPriority w:val="99"/>
    <w:semiHidden/>
    <w:rPr>
      <w:sz w:val="20"/>
      <w:szCs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Plain Text"/>
    <w:link w:val="874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styleId="874" w:customStyle="1">
    <w:name w:val="Текст Знак"/>
    <w:link w:val="873"/>
    <w:uiPriority w:val="99"/>
    <w:rPr>
      <w:rFonts w:ascii="Courier New" w:hAnsi="Courier New" w:cs="Courier New"/>
      <w:sz w:val="21"/>
      <w:szCs w:val="21"/>
    </w:rPr>
  </w:style>
  <w:style w:type="character" w:styleId="875" w:customStyle="1">
    <w:name w:val="Header Char"/>
    <w:uiPriority w:val="99"/>
  </w:style>
  <w:style w:type="paragraph" w:styleId="876">
    <w:name w:val="Footer"/>
    <w:link w:val="877"/>
    <w:uiPriority w:val="99"/>
    <w:unhideWhenUsed/>
    <w:pPr>
      <w:spacing w:after="0"/>
    </w:pPr>
  </w:style>
  <w:style w:type="character" w:styleId="877" w:customStyle="1">
    <w:name w:val="Нижний колонтитул Знак"/>
    <w:link w:val="876"/>
    <w:uiPriority w:val="99"/>
  </w:style>
  <w:style w:type="paragraph" w:styleId="878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879">
    <w:name w:val="Body Text"/>
    <w:basedOn w:val="831"/>
    <w:link w:val="880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880" w:customStyle="1">
    <w:name w:val="Основной текст Знак"/>
    <w:basedOn w:val="841"/>
    <w:link w:val="879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881" w:customStyle="1">
    <w:name w:val="Table Paragraph"/>
    <w:basedOn w:val="831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882">
    <w:name w:val="Table Grid"/>
    <w:basedOn w:val="842"/>
    <w:uiPriority w:val="59"/>
    <w:pPr>
      <w:spacing w:after="0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No Spacing"/>
    <w:basedOn w:val="831"/>
    <w:link w:val="887"/>
    <w:uiPriority w:val="1"/>
    <w:qFormat/>
  </w:style>
  <w:style w:type="character" w:styleId="884">
    <w:name w:val="Strong"/>
    <w:basedOn w:val="841"/>
    <w:uiPriority w:val="22"/>
    <w:qFormat/>
    <w:rPr>
      <w:b/>
      <w:bCs/>
    </w:rPr>
  </w:style>
  <w:style w:type="paragraph" w:styleId="885" w:customStyle="1">
    <w:name w:val="Default"/>
    <w:basedOn w:val="83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886">
    <w:name w:val="Normal (Web)"/>
    <w:basedOn w:val="831"/>
    <w:uiPriority w:val="99"/>
    <w:unhideWhenUsed/>
    <w:pPr>
      <w:spacing w:before="100"/>
    </w:pPr>
    <w:rPr>
      <w:rFonts w:ascii="Times New Roman" w:hAnsi="Times New Roman" w:eastAsia="Calibri" w:cs="Times New Roman"/>
      <w:sz w:val="24"/>
      <w:szCs w:val="24"/>
    </w:rPr>
  </w:style>
  <w:style w:type="character" w:styleId="887" w:customStyle="1">
    <w:name w:val="Без интервала Знак"/>
    <w:basedOn w:val="841"/>
    <w:link w:val="883"/>
    <w:uiPriority w:val="1"/>
    <w:rPr>
      <w:rFonts w:ascii="Calibri" w:hAnsi="Calibri" w:cs="Calibri"/>
      <w:lang w:eastAsia="ru-RU"/>
    </w:rPr>
  </w:style>
  <w:style w:type="character" w:styleId="888">
    <w:name w:val="annotation reference"/>
    <w:basedOn w:val="841"/>
    <w:uiPriority w:val="99"/>
    <w:unhideWhenUsed/>
    <w:rPr>
      <w:sz w:val="16"/>
      <w:szCs w:val="16"/>
    </w:rPr>
  </w:style>
  <w:style w:type="paragraph" w:styleId="889">
    <w:name w:val="annotation text"/>
    <w:basedOn w:val="831"/>
    <w:link w:val="890"/>
    <w:uiPriority w:val="99"/>
    <w:unhideWhenUsed/>
    <w:rPr>
      <w:sz w:val="20"/>
      <w:szCs w:val="20"/>
    </w:rPr>
  </w:style>
  <w:style w:type="character" w:styleId="890" w:customStyle="1">
    <w:name w:val="Текст примечания Знак"/>
    <w:basedOn w:val="841"/>
    <w:link w:val="889"/>
    <w:uiPriority w:val="99"/>
    <w:rPr>
      <w:rFonts w:ascii="Calibri" w:hAnsi="Calibri" w:cs="Calibri"/>
      <w:sz w:val="20"/>
      <w:szCs w:val="20"/>
      <w:lang w:eastAsia="ru-RU"/>
    </w:rPr>
  </w:style>
  <w:style w:type="paragraph" w:styleId="891">
    <w:name w:val="annotation subject"/>
    <w:basedOn w:val="889"/>
    <w:next w:val="889"/>
    <w:link w:val="892"/>
    <w:uiPriority w:val="99"/>
    <w:semiHidden/>
    <w:unhideWhenUsed/>
    <w:rPr>
      <w:b/>
      <w:bCs/>
    </w:rPr>
  </w:style>
  <w:style w:type="character" w:styleId="892" w:customStyle="1">
    <w:name w:val="Тема примечания Знак"/>
    <w:basedOn w:val="890"/>
    <w:link w:val="891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paragraph" w:styleId="893">
    <w:name w:val="Balloon Text"/>
    <w:basedOn w:val="831"/>
    <w:link w:val="894"/>
    <w:uiPriority w:val="99"/>
    <w:semiHidden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841"/>
    <w:link w:val="89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95">
    <w:name w:val="List Paragraph"/>
    <w:basedOn w:val="831"/>
    <w:link w:val="901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cstheme="minorBidi"/>
      <w:lang w:eastAsia="en-US"/>
    </w:rPr>
  </w:style>
  <w:style w:type="character" w:styleId="896">
    <w:name w:val="Hyperlink"/>
    <w:basedOn w:val="841"/>
    <w:uiPriority w:val="99"/>
    <w:unhideWhenUsed/>
    <w:rPr>
      <w:color w:val="0563c1" w:themeColor="hyperlink"/>
      <w:u w:val="single"/>
    </w:rPr>
  </w:style>
  <w:style w:type="paragraph" w:styleId="897">
    <w:name w:val="Header"/>
    <w:basedOn w:val="831"/>
    <w:link w:val="898"/>
    <w:uiPriority w:val="99"/>
    <w:unhideWhenUsed/>
    <w:pPr>
      <w:jc w:val="left"/>
      <w:spacing w:after="0"/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841"/>
    <w:link w:val="897"/>
    <w:uiPriority w:val="99"/>
    <w:rPr>
      <w:rFonts w:ascii="Calibri" w:hAnsi="Calibri" w:cs="Calibri"/>
      <w:lang w:eastAsia="ru-RU"/>
    </w:rPr>
  </w:style>
  <w:style w:type="character" w:styleId="899" w:customStyle="1">
    <w:name w:val="Заголовок 1 Знак"/>
    <w:basedOn w:val="841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00" w:customStyle="1">
    <w:name w:val="Заголовок 5 Знак"/>
    <w:basedOn w:val="841"/>
    <w:link w:val="836"/>
    <w:uiPriority w:val="9"/>
    <w:rPr>
      <w:rFonts w:asciiTheme="majorHAnsi" w:hAnsiTheme="majorHAnsi" w:eastAsiaTheme="majorEastAsia" w:cstheme="majorBidi"/>
      <w:color w:val="2e74b5" w:themeColor="accent1" w:themeShade="BF"/>
      <w:lang w:eastAsia="ru-RU"/>
    </w:rPr>
  </w:style>
  <w:style w:type="character" w:styleId="901" w:customStyle="1">
    <w:name w:val="Абзац списка Знак"/>
    <w:basedOn w:val="841"/>
    <w:link w:val="895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ynecology.school/events/regionalnoe-sobranie-g-barnau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Гречишкина Мария</cp:lastModifiedBy>
  <cp:revision>4</cp:revision>
  <dcterms:created xsi:type="dcterms:W3CDTF">2024-09-28T06:57:00Z</dcterms:created>
  <dcterms:modified xsi:type="dcterms:W3CDTF">2024-10-01T12:29:04Z</dcterms:modified>
</cp:coreProperties>
</file>