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100" w:line="276" w:lineRule="auto"/>
        <w:tabs>
          <w:tab w:val="left" w:pos="1372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Научно-практическая конференция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jc w:val="center"/>
        <w:spacing w:after="100"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«Рак молочной железы»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</w:p>
    <w:p>
      <w:pPr>
        <w:jc w:val="center"/>
        <w:spacing w:after="100" w:line="276" w:lineRule="auto"/>
        <w:tabs>
          <w:tab w:val="left" w:pos="1372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ноября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2024 года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jc w:val="center"/>
        <w:spacing w:after="100" w:line="276" w:lineRule="auto"/>
        <w:tabs>
          <w:tab w:val="left" w:pos="1372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г. Москва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jc w:val="center"/>
        <w:spacing w:after="100" w:line="276" w:lineRule="auto"/>
        <w:tabs>
          <w:tab w:val="left" w:pos="1372" w:leader="none"/>
        </w:tabs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онлайн-формат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i/>
          <w:color w:val="000000"/>
          <w:sz w:val="24"/>
          <w:szCs w:val="24"/>
        </w:rPr>
      </w:r>
    </w:p>
    <w:p>
      <w:pPr>
        <w:jc w:val="center"/>
        <w:spacing w:after="100" w:line="276" w:lineRule="auto"/>
        <w:tabs>
          <w:tab w:val="left" w:pos="1372" w:leader="none"/>
        </w:tabs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Количество академических часов – </w:t>
      </w:r>
      <w:r>
        <w:rPr>
          <w:rFonts w:ascii="Times New Roman" w:hAnsi="Times New Roman" w:cs="Times New Roman"/>
          <w:i/>
          <w:sz w:val="24"/>
          <w:szCs w:val="24"/>
        </w:rPr>
        <w:t xml:space="preserve">2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</w:r>
    </w:p>
    <w:p>
      <w:pPr>
        <w:jc w:val="center"/>
        <w:spacing w:after="100" w:line="276" w:lineRule="auto"/>
        <w:tabs>
          <w:tab w:val="left" w:pos="1372" w:leader="none"/>
        </w:tabs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r>
    </w:p>
    <w:p>
      <w:pPr>
        <w:jc w:val="both"/>
        <w:spacing w:after="100" w:line="276" w:lineRule="auto"/>
        <w:tabs>
          <w:tab w:val="left" w:pos="1372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Научный организатор: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Евразийская ассоциация гастроэнтерологов, педиатров и медицинских организаций.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pStyle w:val="941"/>
        <w:jc w:val="both"/>
        <w:spacing w:after="10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Конгресс-оператор: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ООО «ГК «РУСМЕДИКАЛ». </w:t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jc w:val="both"/>
        <w:spacing w:after="100" w:line="276" w:lineRule="auto"/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Дат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проведения: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22 ноября 2024 г.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</w:r>
    </w:p>
    <w:p>
      <w:pPr>
        <w:jc w:val="both"/>
        <w:spacing w:after="10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</w:rPr>
        <w:t xml:space="preserve">Ссылка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</w:rPr>
        <w:t xml:space="preserve">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10" w:tooltip="https://gynecology.school/events/rak-molochnoy-zhelezy/" w:history="1">
        <w:r>
          <w:rPr>
            <w:rStyle w:val="942"/>
            <w:rFonts w:ascii="Times New Roman" w:hAnsi="Times New Roman" w:cs="Times New Roman"/>
            <w:sz w:val="24"/>
            <w:szCs w:val="24"/>
          </w:rPr>
          <w:t xml:space="preserve">https://gynecology.school/events/rak-molochnoy-zhelezy/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jc w:val="both"/>
        <w:spacing w:after="100" w:line="276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Образовательные цели: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усвоение опыта ведущих специалистов и внедрение современных технологий и методик в клиническую практику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патологоанатомов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, онкологов, акушеров-гинекологов, маммологов, хирургов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врачей общей практики (семейных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врачей)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для повышения эффективности лечебно-диагностического и профилактического процессов в сфере борьбы с раком молочной железы;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повышение уровня осведомленности о проблеме.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spacing w:after="100" w:line="276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ab/>
        <w:t xml:space="preserve">По итогам мероприятия участники смогут составлять алгоритмы обследования, интерпретировать результаты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лабораторных, морфологических и 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иммуногистохимических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методов исследования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что позволит выбирать адекватную терапию рака молочной железы и тактику ведения пациенток, осуществлять контроль эффективности лечения и при необходимости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корректировать его. Кроме того, участники смогут применять междисциплинарный подход к терапии рака молочной железы, что будет способствовать снижению числа повышению качества оказания квалифицированной помощи, улучшению здоровья и качества жизни пациентов.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spacing w:after="100" w:line="276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ab/>
        <w:t xml:space="preserve">Планируемые к обсуждению темы:</w:t>
      </w:r>
      <w: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оптимизаци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я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диагностики и выбора тактики ведения пациенток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при раке молочной железы с учетом его гетерогенности,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прогностическая и предиктивная значимость маркера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 </w:t>
      </w:r>
      <w:r>
        <w:rPr>
          <w:rFonts w:ascii="Times New Roman" w:hAnsi="Times New Roman" w:cs="Times New Roman"/>
          <w:sz w:val="24"/>
          <w:szCs w:val="24"/>
        </w:rPr>
        <w:t xml:space="preserve">Ki-67 при раке молочной железы,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влияние рака молочной железы и его терапии на женскую репродуктивную систему.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spacing w:after="100" w:line="276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Аудитория: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патологоанатомы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, онкологи, акушеры-гинекологи, маммологи, хирурги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врачи общей практики (семейные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врачи).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941"/>
        <w:jc w:val="both"/>
        <w:spacing w:before="200" w:after="200" w:line="276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НАУЧНЫЙ РУКОВОДИТЕЛЬ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tbl>
      <w:tblPr>
        <w:tblStyle w:val="945"/>
        <w:tblW w:w="0" w:type="auto"/>
        <w:tblBorders>
          <w:left w:val="none" w:color="auto" w:sz="4" w:space="0"/>
          <w:right w:val="none" w:color="auto" w:sz="4" w:space="0"/>
        </w:tblBorders>
        <w:tblLook w:val="04A0" w:firstRow="1" w:lastRow="0" w:firstColumn="1" w:lastColumn="0" w:noHBand="0" w:noVBand="1"/>
      </w:tblPr>
      <w:tblGrid>
        <w:gridCol w:w="9355"/>
      </w:tblGrid>
      <w:tr>
        <w:trPr>
          <w:trHeight w:val="904"/>
        </w:trPr>
        <w:tc>
          <w:tcPr>
            <w:tcW w:w="9571" w:type="dxa"/>
            <w:textDirection w:val="lrTb"/>
            <w:noWrap w:val="false"/>
          </w:tcPr>
          <w:p>
            <w:pPr>
              <w:pStyle w:val="941"/>
              <w:jc w:val="both"/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Сетдикова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 Галия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Равилевна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 д. м. н., руководитель отделения морфологической диагностики отдела онкологии ГБУЗ МО МОНИКИ им. М.Ф. Владимирского, Московская область.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p>
      <w:pPr>
        <w:pStyle w:val="941"/>
        <w:jc w:val="both"/>
        <w:spacing w:before="200" w:after="200" w:line="276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pStyle w:val="941"/>
        <w:jc w:val="both"/>
        <w:spacing w:before="200" w:after="200" w:line="276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pStyle w:val="941"/>
        <w:jc w:val="both"/>
        <w:spacing w:before="200" w:after="200" w:line="276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ДОКЛАДЧИКИ</w:t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tbl>
      <w:tblPr>
        <w:tblStyle w:val="945"/>
        <w:tblW w:w="0" w:type="auto"/>
        <w:tblBorders>
          <w:left w:val="none" w:color="auto" w:sz="4" w:space="0"/>
          <w:right w:val="none" w:color="auto" w:sz="4" w:space="0"/>
        </w:tblBorders>
        <w:tblLook w:val="04A0" w:firstRow="1" w:lastRow="0" w:firstColumn="1" w:lastColumn="0" w:noHBand="0" w:noVBand="1"/>
      </w:tblPr>
      <w:tblGrid>
        <w:gridCol w:w="9355"/>
      </w:tblGrid>
      <w:tr>
        <w:trPr>
          <w:trHeight w:val="505"/>
        </w:trPr>
        <w:tc>
          <w:tcPr>
            <w:tcW w:w="9355" w:type="dxa"/>
            <w:textDirection w:val="lrTb"/>
            <w:noWrap w:val="false"/>
          </w:tcPr>
          <w:p>
            <w:pPr>
              <w:jc w:val="both"/>
              <w:spacing w:after="4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Асатурова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Александра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Вячеславовна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н.,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1-м патологоанатомическим отделением, врач-патологоанатом, врач клинической лабораторной диагностики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ФГБУ «НМИЦ АГП им. В.И. Кулакова» Минздрава России, г.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Москва.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941"/>
              <w:jc w:val="both"/>
              <w:spacing w:after="2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Общий стаж по специальности «Патологическая анатомия» – 16 лет.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941"/>
              <w:jc w:val="both"/>
              <w:spacing w:after="2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направления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научной деятельности: патологическая анатомия в сфере акушерства и гинекологии, онкогинекологии; диагностика гиперпластических изменений и предраковых состояний эндометрия на основании молекулярно-биологических исследований, гиперпластические изменения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интраэпителиальные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поражения слизистой оболочки маточной трубы при опухолях яичника.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after="4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данным РИНЦ: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Хирш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/число публикаций/цитирования: 12/194/667.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rPr>
          <w:trHeight w:val="505"/>
        </w:trPr>
        <w:tc>
          <w:tcPr>
            <w:tcW w:w="9355" w:type="dxa"/>
            <w:textDirection w:val="lrTb"/>
            <w:noWrap w:val="false"/>
          </w:tcPr>
          <w:p>
            <w:pPr>
              <w:jc w:val="both"/>
              <w:spacing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Иванов Илья Андреевич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н.,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  <w:t xml:space="preserve">врач – акушер-гинеколог, гинеколог-эндокринолог отделения гинекологической эндокринологии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ФГБУ «НМИЦ АГП им. В.И. Кулакова» Минздрава России, г.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Москва.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1"/>
              <w:jc w:val="both"/>
              <w:spacing w:after="2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Общий стаж по специальности «Акушерство и гинекология» – 10 лет.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after="4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направления научной деятельности: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аномальные маточные кровотечения, коррекция нарушений менструального цикла, внутриматочная патология, эндометриоз, лечение бесплодия, менопаузальная гормональная терапия.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after="4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данным РИНЦ: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Хирш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/число публикаций/цитирования: 5/20/126.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346"/>
        </w:trPr>
        <w:tc>
          <w:tcPr>
            <w:tcW w:w="9355" w:type="dxa"/>
            <w:textDirection w:val="lrTb"/>
            <w:noWrap w:val="false"/>
          </w:tcPr>
          <w:p>
            <w:pPr>
              <w:pStyle w:val="941"/>
              <w:jc w:val="both"/>
              <w:spacing w:after="4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Сетдикова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 Галия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Равилевна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 д. м. н., руководитель отделения морфологической диагностики отдела онкологии ГБУЗ МО МОНИКИ им. М.Ф. Владимирского, Московская область.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941"/>
              <w:jc w:val="both"/>
              <w:spacing w:after="2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Общий стаж по специальности «Па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тологическая анатомия» – 14 лет.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941"/>
              <w:jc w:val="both"/>
              <w:spacing w:after="2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направления научной деятельности: морфогенез и дифференциальная диагностика различных онкологических заболеваний, патоморфологическая и лучевая диагностика хирургических заболеваний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поджелудочной железы, острый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кальулезный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холецистит и его осложнения,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холелитиаз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941"/>
              <w:jc w:val="both"/>
              <w:spacing w:after="4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данным РИНЦ: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Хирш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/число публикаций/цитирования: 31/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18544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833"/>
        </w:trPr>
        <w:tc>
          <w:tcPr>
            <w:tcW w:w="9355" w:type="dxa"/>
            <w:textDirection w:val="lrTb"/>
            <w:noWrap w:val="false"/>
          </w:tcPr>
          <w:p>
            <w:pPr>
              <w:jc w:val="both"/>
              <w:spacing w:after="40" w:line="276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Тележникова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Инесса Михайловна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младший научный сотрудник лаборатории инновационной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патоморфологии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ГБУЗ МКНЦ имени А.С. Логинова ДЗМ,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младший научный сотрудник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отделения морфологической диагностики отдела онкологии ГБУЗ МО МОНИКИ им. М.Ф. Владимирского, г. Москва.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941"/>
              <w:jc w:val="both"/>
              <w:spacing w:after="2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Общий стаж по специальности «Патологическая анатомия» – 9 лет, педагогический стаж </w:t>
            </w:r>
            <w:r>
              <w:rPr>
                <w:rFonts w:ascii="Times New Roman" w:hAnsi="Times New Roman" w:eastAsia="Times New Roman" w:cs="Times New Roman"/>
                <w:bCs/>
                <w:iCs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лет</w:t>
            </w:r>
            <w:r>
              <w:rPr>
                <w:rFonts w:ascii="Times New Roman" w:hAnsi="Times New Roman" w:eastAsia="Times New Roman" w:cs="Times New Roman"/>
                <w:bCs/>
                <w:iCs/>
                <w:color w:val="000000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941"/>
              <w:jc w:val="both"/>
              <w:spacing w:after="2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направления научной деятельности: морфологическая и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иммуногистохимическая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диагностика опухолей различных локализаций; исследование проблемы дифференциальной диагностики и клинико-морфологических особенностей карцином; изучение разнообразных методов и диагностических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биомаркеров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целью реализации персонифицированного подхода к диагностике и лечению онкологических заболеваний.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after="40" w:line="276" w:lineRule="auto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данным РИНЦ: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Хирш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/число публикаций/цитирования: 1/21/7.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131"/>
        </w:trPr>
        <w:tc>
          <w:tcPr>
            <w:tcW w:w="9355" w:type="dxa"/>
            <w:textDirection w:val="lrTb"/>
            <w:noWrap w:val="false"/>
          </w:tcPr>
          <w:p>
            <w:pPr>
              <w:jc w:val="both"/>
              <w:spacing w:after="2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Шикина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Валентина Евгеньевна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к. м. н., заместитель директора по онкологии, профессор кафедры онкологии и торакальной хирургии ГБУЗ МО МОНИКИ им. М.Ф. Владимирского, врач-онколог,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Московская область.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941"/>
              <w:jc w:val="both"/>
              <w:spacing w:after="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стаж по специальности «Онкология» – 21 год, педагогический стаж </w:t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</w:rPr>
              <w:t xml:space="preserve">– 3 года.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20" w:line="276" w:lineRule="auto"/>
              <w:rPr>
                <w:rFonts w:ascii="Times New Roman" w:hAnsi="Times New Roman" w:cs="Times New Roman" w:eastAsiaTheme="minorEastAsi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направления научной деятельности: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color w:val="000000"/>
                <w:sz w:val="24"/>
                <w:szCs w:val="24"/>
                <w:lang w:eastAsia="ru-RU"/>
              </w:rPr>
              <w:t xml:space="preserve">современная лекарственная терапия злокачественных опухолей (химио-, </w:t>
            </w:r>
            <w:r>
              <w:rPr>
                <w:rFonts w:ascii="Times New Roman" w:hAnsi="Times New Roman" w:cs="Times New Roman" w:eastAsiaTheme="minorEastAsia"/>
                <w:color w:val="000000"/>
                <w:sz w:val="24"/>
                <w:szCs w:val="24"/>
                <w:lang w:eastAsia="ru-RU"/>
              </w:rPr>
              <w:t xml:space="preserve">иммуно</w:t>
            </w:r>
            <w:r>
              <w:rPr>
                <w:rFonts w:ascii="Times New Roman" w:hAnsi="Times New Roman" w:cs="Times New Roman" w:eastAsiaTheme="minorEastAsia"/>
                <w:color w:val="000000"/>
                <w:sz w:val="24"/>
                <w:szCs w:val="24"/>
                <w:lang w:eastAsia="ru-RU"/>
              </w:rPr>
              <w:t xml:space="preserve">- и гормонотерапия).</w:t>
            </w:r>
            <w:r>
              <w:rPr>
                <w:rFonts w:ascii="Times New Roman" w:hAnsi="Times New Roman" w:cs="Times New Roman" w:eastAsiaTheme="minorEastAsia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2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данным РИНЦ: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Хирш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/число публикаций/цитирования: 5/38/74.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</w:p>
        </w:tc>
      </w:tr>
    </w:tbl>
    <w:p>
      <w:pPr>
        <w:spacing w:before="200" w:after="200" w:line="276" w:lineRule="auto"/>
        <w:rPr>
          <w:rFonts w:ascii="Times New Roman" w:hAnsi="Times New Roman" w:eastAsia="Calibri" w:cs="Times New Roman"/>
          <w:i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НАУЧНАЯ ПРОГРАММА</w:t>
      </w:r>
      <w:r>
        <w:rPr>
          <w:rFonts w:ascii="Times New Roman" w:hAnsi="Times New Roman" w:eastAsia="Calibri" w:cs="Times New Roman"/>
          <w:i/>
          <w:sz w:val="24"/>
          <w:szCs w:val="24"/>
        </w:rPr>
        <w:t xml:space="preserve"> (по московскому времени)</w:t>
      </w:r>
      <w:r>
        <w:rPr>
          <w:rFonts w:ascii="Times New Roman" w:hAnsi="Times New Roman" w:eastAsia="Calibri" w:cs="Times New Roman"/>
          <w:i/>
          <w:sz w:val="24"/>
          <w:szCs w:val="24"/>
        </w:rPr>
      </w:r>
    </w:p>
    <w:tbl>
      <w:tblPr>
        <w:tblW w:w="95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5"/>
        <w:gridCol w:w="7948"/>
      </w:tblGrid>
      <w:tr>
        <w:trPr>
          <w:trHeight w:val="545"/>
        </w:trPr>
        <w:tc>
          <w:tcPr>
            <w:gridSpan w:val="2"/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9503" w:type="dxa"/>
            <w:textDirection w:val="lrTb"/>
            <w:noWrap w:val="false"/>
          </w:tcPr>
          <w:p>
            <w:pPr>
              <w:ind w:left="284" w:hanging="284"/>
              <w:jc w:val="center"/>
              <w:spacing w:after="20" w:line="276" w:lineRule="auto"/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22 ноября 2024 года</w:t>
            </w: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</w:rPr>
            </w:r>
          </w:p>
          <w:p>
            <w:pPr>
              <w:jc w:val="center"/>
              <w:spacing w:after="20" w:line="276" w:lineRule="auto"/>
              <w:tabs>
                <w:tab w:val="left" w:pos="1372" w:leader="none"/>
              </w:tabs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(первый день, онлайн-формат)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r>
          </w:p>
        </w:tc>
      </w:tr>
      <w:tr>
        <w:trPr>
          <w:trHeight w:val="673"/>
        </w:trPr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55" w:type="dxa"/>
            <w:textDirection w:val="lrTb"/>
            <w:noWrap w:val="false"/>
          </w:tcPr>
          <w:p>
            <w:pPr>
              <w:ind w:left="107"/>
              <w:jc w:val="both"/>
              <w:spacing w:after="20" w:line="276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11:00</w:t>
            </w:r>
            <w:r>
              <w:rPr>
                <w:rFonts w:ascii="Times New Roman" w:hAnsi="Times New Roman" w:eastAsia="Calibri" w:cs="Times New Roman"/>
                <w:i/>
                <w:color w:val="000000" w:themeColor="text1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11:10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r>
          </w:p>
          <w:p>
            <w:pPr>
              <w:ind w:left="107"/>
              <w:jc w:val="both"/>
              <w:spacing w:after="20" w:line="276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10 мин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948" w:type="dxa"/>
            <w:textDirection w:val="lrTb"/>
            <w:noWrap w:val="false"/>
          </w:tcPr>
          <w:p>
            <w:pPr>
              <w:ind w:left="83" w:right="67" w:hanging="8"/>
              <w:jc w:val="both"/>
              <w:spacing w:after="20" w:line="276" w:lineRule="auto"/>
              <w:tabs>
                <w:tab w:val="left" w:pos="-151" w:leader="none"/>
                <w:tab w:val="left" w:pos="-49" w:leader="none"/>
                <w:tab w:val="left" w:pos="8009" w:leader="none"/>
              </w:tabs>
              <w:rPr>
                <w:rFonts w:ascii="Times New Roman" w:hAnsi="Times New Roman" w:eastAsia="Calibri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Открытие. </w:t>
            </w:r>
            <w:r>
              <w:rPr>
                <w:rFonts w:ascii="Times New Roman" w:hAnsi="Times New Roman" w:eastAsia="Calibri" w:cs="Times New Roman"/>
                <w:i/>
                <w:sz w:val="24"/>
                <w:szCs w:val="24"/>
              </w:rPr>
              <w:t xml:space="preserve">Приветственные слова:</w:t>
            </w:r>
            <w:r>
              <w:rPr>
                <w:rFonts w:ascii="Times New Roman" w:hAnsi="Times New Roman" w:eastAsia="Calibri" w:cs="Times New Roman"/>
                <w:i/>
                <w:sz w:val="24"/>
                <w:szCs w:val="24"/>
              </w:rPr>
            </w:r>
          </w:p>
          <w:p>
            <w:pPr>
              <w:ind w:left="83" w:right="67" w:hanging="8"/>
              <w:jc w:val="both"/>
              <w:spacing w:after="20" w:line="276" w:lineRule="auto"/>
              <w:tabs>
                <w:tab w:val="left" w:pos="-151" w:leader="none"/>
                <w:tab w:val="left" w:pos="-49" w:leader="none"/>
                <w:tab w:val="left" w:pos="8009" w:leader="none"/>
              </w:tabs>
              <w:rPr>
                <w:rFonts w:ascii="Times New Roman" w:hAnsi="Times New Roman" w:eastAsia="Calibri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</w:rPr>
              <w:t xml:space="preserve">Сетдикова</w:t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</w:rPr>
              <w:t xml:space="preserve"> Галия </w:t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</w:rPr>
              <w:t xml:space="preserve">Равилевна</w:t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</w:rPr>
              <w:t xml:space="preserve">Шикина</w:t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</w:rPr>
              <w:t xml:space="preserve"> Валентина Евгеньевна</w:t>
            </w:r>
            <w:r>
              <w:rPr>
                <w:rFonts w:ascii="Times New Roman" w:hAnsi="Times New Roman" w:eastAsia="Calibri" w:cs="Times New Roman"/>
                <w:i/>
                <w:iCs/>
                <w:sz w:val="24"/>
                <w:szCs w:val="24"/>
              </w:rPr>
            </w:r>
          </w:p>
        </w:tc>
      </w:tr>
      <w:tr>
        <w:trPr>
          <w:trHeight w:val="673"/>
        </w:trPr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55" w:type="dxa"/>
            <w:textDirection w:val="lrTb"/>
            <w:noWrap w:val="false"/>
          </w:tcPr>
          <w:p>
            <w:pPr>
              <w:ind w:left="107"/>
              <w:jc w:val="both"/>
              <w:spacing w:after="20" w:line="276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11:10</w:t>
            </w:r>
            <w:r>
              <w:rPr>
                <w:rFonts w:ascii="Times New Roman" w:hAnsi="Times New Roman" w:eastAsia="Calibri" w:cs="Times New Roman"/>
                <w:i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11:40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r>
          </w:p>
          <w:p>
            <w:pPr>
              <w:ind w:left="107"/>
              <w:jc w:val="both"/>
              <w:spacing w:after="20" w:line="276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30 мин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948" w:type="dxa"/>
            <w:textDirection w:val="lrTb"/>
            <w:noWrap w:val="false"/>
          </w:tcPr>
          <w:p>
            <w:pPr>
              <w:pStyle w:val="941"/>
              <w:ind w:left="83" w:right="67" w:hanging="8"/>
              <w:jc w:val="both"/>
              <w:spacing w:after="20" w:line="276" w:lineRule="auto"/>
              <w:tabs>
                <w:tab w:val="left" w:pos="-151" w:leader="none"/>
                <w:tab w:val="left" w:pos="-49" w:leader="none"/>
                <w:tab w:val="left" w:pos="8009" w:leader="none"/>
              </w:tabs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Гетерогенность рака молочной железы на примере клинического случая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</w:p>
          <w:p>
            <w:pPr>
              <w:pStyle w:val="941"/>
              <w:ind w:left="83" w:right="67" w:hanging="8"/>
              <w:jc w:val="both"/>
              <w:spacing w:after="20" w:line="276" w:lineRule="auto"/>
              <w:tabs>
                <w:tab w:val="left" w:pos="-151" w:leader="none"/>
                <w:tab w:val="left" w:pos="-49" w:leader="none"/>
                <w:tab w:val="left" w:pos="8009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Шикина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Валентина Евгеньевна,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Сетдикова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Галия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Равилевна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(Московская область)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941"/>
              <w:ind w:left="151" w:right="142"/>
              <w:jc w:val="both"/>
              <w:spacing w:after="2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Ожидаемый образовательный результат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основе разбора клинической ситуации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смогут усовершенствовать навыки оптимизации диагностики и выбора тактики ведения пациенток при раке молочной железы (РМЖ).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</w:r>
          </w:p>
          <w:p>
            <w:pPr>
              <w:pStyle w:val="941"/>
              <w:ind w:left="151" w:right="142"/>
              <w:jc w:val="both"/>
              <w:spacing w:after="2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Будут рассмотрены вопросы: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</w:r>
          </w:p>
          <w:p>
            <w:pPr>
              <w:pStyle w:val="941"/>
              <w:numPr>
                <w:ilvl w:val="0"/>
                <w:numId w:val="40"/>
              </w:numPr>
              <w:ind w:left="577" w:right="142" w:hanging="284"/>
              <w:jc w:val="both"/>
              <w:spacing w:after="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молекулярно-генетическая классификация РМЖ;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4"/>
              <w:numPr>
                <w:ilvl w:val="0"/>
                <w:numId w:val="40"/>
              </w:numPr>
              <w:ind w:left="577" w:right="142" w:hanging="284"/>
              <w:jc w:val="both"/>
              <w:spacing w:after="40" w:line="276" w:lineRule="auto"/>
              <w:widowControl w:val="o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маммографический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скрининг для определения характеристики опухоли;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pStyle w:val="944"/>
              <w:numPr>
                <w:ilvl w:val="0"/>
                <w:numId w:val="40"/>
              </w:numPr>
              <w:ind w:left="577" w:right="142" w:hanging="284"/>
              <w:jc w:val="both"/>
              <w:spacing w:after="40" w:line="276" w:lineRule="auto"/>
              <w:widowControl w:val="o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гетерогенность рака молочной железы I стадии: биологическое и прогностическое значение;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pStyle w:val="944"/>
              <w:numPr>
                <w:ilvl w:val="0"/>
                <w:numId w:val="40"/>
              </w:numPr>
              <w:ind w:left="577" w:right="142" w:hanging="284"/>
              <w:jc w:val="both"/>
              <w:spacing w:after="40" w:line="276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разбор клинической ситуации.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55" w:type="dxa"/>
            <w:textDirection w:val="lrTb"/>
            <w:noWrap w:val="false"/>
          </w:tcPr>
          <w:p>
            <w:pPr>
              <w:ind w:left="107"/>
              <w:jc w:val="both"/>
              <w:spacing w:after="20" w:line="276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11:40</w:t>
            </w:r>
            <w:r>
              <w:rPr>
                <w:rFonts w:ascii="Times New Roman" w:hAnsi="Times New Roman" w:eastAsia="Calibri" w:cs="Times New Roman"/>
                <w:i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11:50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r>
          </w:p>
          <w:p>
            <w:pPr>
              <w:ind w:left="107"/>
              <w:jc w:val="both"/>
              <w:spacing w:after="20" w:line="276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10 мин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948" w:type="dxa"/>
            <w:textDirection w:val="lrTb"/>
            <w:noWrap w:val="false"/>
          </w:tcPr>
          <w:p>
            <w:pPr>
              <w:pStyle w:val="941"/>
              <w:ind w:left="83" w:right="67" w:hanging="8"/>
              <w:jc w:val="both"/>
              <w:spacing w:after="20" w:line="276" w:lineRule="auto"/>
              <w:tabs>
                <w:tab w:val="left" w:pos="-151" w:leader="none"/>
                <w:tab w:val="left" w:pos="-49" w:leader="none"/>
                <w:tab w:val="left" w:pos="8009" w:leader="none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Дискуссия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</w:r>
          </w:p>
        </w:tc>
      </w:tr>
      <w:tr>
        <w:trPr/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55" w:type="dxa"/>
            <w:textDirection w:val="lrTb"/>
            <w:noWrap w:val="false"/>
          </w:tcPr>
          <w:p>
            <w:pPr>
              <w:ind w:left="107"/>
              <w:jc w:val="both"/>
              <w:spacing w:after="20" w:line="276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11:50</w:t>
            </w:r>
            <w:r>
              <w:rPr>
                <w:rFonts w:ascii="Times New Roman" w:hAnsi="Times New Roman" w:eastAsia="Calibri" w:cs="Times New Roman"/>
                <w:i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12:20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r>
          </w:p>
          <w:p>
            <w:pPr>
              <w:ind w:left="107"/>
              <w:jc w:val="both"/>
              <w:spacing w:after="20" w:line="276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30 мин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948" w:type="dxa"/>
            <w:textDirection w:val="lrTb"/>
            <w:noWrap w:val="false"/>
          </w:tcPr>
          <w:p>
            <w:pPr>
              <w:pStyle w:val="941"/>
              <w:ind w:left="83" w:right="67"/>
              <w:jc w:val="both"/>
              <w:spacing w:after="20" w:line="276" w:lineRule="auto"/>
              <w:tabs>
                <w:tab w:val="left" w:pos="-151" w:leader="none"/>
                <w:tab w:val="left" w:pos="-49" w:leader="none"/>
                <w:tab w:val="left" w:pos="8009" w:leader="none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Прогностическая и предиктивная значимость маркера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Ki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-67 при раке молочной железы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pStyle w:val="941"/>
              <w:ind w:left="83" w:right="67" w:hanging="8"/>
              <w:spacing w:after="20" w:line="276" w:lineRule="auto"/>
              <w:tabs>
                <w:tab w:val="left" w:pos="-151" w:leader="none"/>
                <w:tab w:val="left" w:pos="-49" w:leader="none"/>
                <w:tab w:val="left" w:pos="8009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Тележникова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Инесса Михайловна (Москва)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1"/>
              <w:ind w:left="83" w:right="67" w:hanging="8"/>
              <w:jc w:val="both"/>
              <w:spacing w:after="20" w:line="276" w:lineRule="auto"/>
              <w:tabs>
                <w:tab w:val="left" w:pos="-151" w:leader="none"/>
                <w:tab w:val="left" w:pos="-49" w:leader="none"/>
                <w:tab w:val="left" w:pos="8009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Ожидаемый образовательный результат –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повысят уровень знаний о современных подходах к прогностической и предиктивной значимости маркера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Ki-67 при раке молочной железы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1"/>
              <w:ind w:left="83" w:right="67" w:hanging="8"/>
              <w:spacing w:after="20" w:line="276" w:lineRule="auto"/>
              <w:tabs>
                <w:tab w:val="left" w:pos="-151" w:leader="none"/>
                <w:tab w:val="left" w:pos="-49" w:leader="none"/>
                <w:tab w:val="left" w:pos="8009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Будут обсуждены вопросы: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1"/>
              <w:numPr>
                <w:ilvl w:val="0"/>
                <w:numId w:val="42"/>
              </w:numPr>
              <w:ind w:left="567" w:right="67" w:hanging="284"/>
              <w:jc w:val="both"/>
              <w:spacing w:after="20" w:line="276" w:lineRule="auto"/>
              <w:tabs>
                <w:tab w:val="left" w:pos="-151" w:leader="none"/>
                <w:tab w:val="left" w:pos="-49" w:leader="none"/>
                <w:tab w:val="left" w:pos="8009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аналитическая и клиническая валидность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иммуногистохимического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маркера пролиферации (белка 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67) при РМЖ;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1"/>
              <w:numPr>
                <w:ilvl w:val="0"/>
                <w:numId w:val="42"/>
              </w:numPr>
              <w:ind w:left="567" w:right="67" w:hanging="284"/>
              <w:jc w:val="both"/>
              <w:spacing w:after="20" w:line="276" w:lineRule="auto"/>
              <w:tabs>
                <w:tab w:val="left" w:pos="-151" w:leader="none"/>
                <w:tab w:val="left" w:pos="-49" w:leader="none"/>
                <w:tab w:val="left" w:pos="8009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РМЖ;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1"/>
              <w:numPr>
                <w:ilvl w:val="0"/>
                <w:numId w:val="42"/>
              </w:numPr>
              <w:ind w:left="567" w:right="67" w:hanging="284"/>
              <w:jc w:val="both"/>
              <w:spacing w:after="20" w:line="276" w:lineRule="auto"/>
              <w:tabs>
                <w:tab w:val="left" w:pos="-151" w:leader="none"/>
                <w:tab w:val="left" w:pos="-49" w:leader="none"/>
                <w:tab w:val="left" w:pos="8009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прогностическая и предиктивная значимость Ki-67;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1"/>
              <w:numPr>
                <w:ilvl w:val="0"/>
                <w:numId w:val="42"/>
              </w:numPr>
              <w:ind w:left="567" w:right="67" w:hanging="284"/>
              <w:jc w:val="both"/>
              <w:spacing w:after="20" w:line="276" w:lineRule="auto"/>
              <w:tabs>
                <w:tab w:val="left" w:pos="-151" w:leader="none"/>
                <w:tab w:val="left" w:pos="-49" w:leader="none"/>
                <w:tab w:val="left" w:pos="8009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Ki-67 как критерий ответа на эндокринную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неоадъювантную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терапию.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55" w:type="dxa"/>
            <w:textDirection w:val="lrTb"/>
            <w:noWrap w:val="false"/>
          </w:tcPr>
          <w:p>
            <w:pPr>
              <w:ind w:left="107"/>
              <w:jc w:val="both"/>
              <w:spacing w:after="20" w:line="276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Calibri" w:cs="Times New Roman"/>
                <w:i/>
                <w:color w:val="000000" w:themeColor="text1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12: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r>
          </w:p>
          <w:p>
            <w:pPr>
              <w:ind w:left="107"/>
              <w:jc w:val="both"/>
              <w:spacing w:after="20" w:line="276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0 мин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948" w:type="dxa"/>
            <w:textDirection w:val="lrTb"/>
            <w:noWrap w:val="false"/>
          </w:tcPr>
          <w:p>
            <w:pPr>
              <w:pStyle w:val="941"/>
              <w:ind w:left="83" w:right="67"/>
              <w:spacing w:after="20" w:line="276" w:lineRule="auto"/>
              <w:tabs>
                <w:tab w:val="left" w:pos="-151" w:leader="none"/>
                <w:tab w:val="left" w:pos="-49" w:leader="none"/>
                <w:tab w:val="left" w:pos="8009" w:leader="none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Дискуссия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</w:r>
          </w:p>
        </w:tc>
      </w:tr>
      <w:tr>
        <w:trPr/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55" w:type="dxa"/>
            <w:textDirection w:val="lrTb"/>
            <w:noWrap w:val="false"/>
          </w:tcPr>
          <w:p>
            <w:pPr>
              <w:ind w:left="107"/>
              <w:jc w:val="both"/>
              <w:spacing w:after="20" w:line="276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:30</w:t>
            </w:r>
            <w:r>
              <w:rPr>
                <w:rFonts w:ascii="Times New Roman" w:hAnsi="Times New Roman" w:eastAsia="Calibri" w:cs="Times New Roman"/>
                <w:i/>
                <w:color w:val="000000" w:themeColor="text1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:00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r>
          </w:p>
          <w:p>
            <w:pPr>
              <w:ind w:left="107"/>
              <w:jc w:val="both"/>
              <w:spacing w:after="20" w:line="276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30 мин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948" w:type="dxa"/>
            <w:textDirection w:val="lrTb"/>
            <w:noWrap w:val="false"/>
          </w:tcPr>
          <w:p>
            <w:pPr>
              <w:pStyle w:val="941"/>
              <w:ind w:left="83" w:right="67" w:hanging="8"/>
              <w:jc w:val="both"/>
              <w:spacing w:after="20" w:line="276" w:lineRule="auto"/>
              <w:tabs>
                <w:tab w:val="left" w:pos="-151" w:leader="none"/>
                <w:tab w:val="left" w:pos="-49" w:leader="none"/>
                <w:tab w:val="left" w:pos="8009" w:leader="none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Рак молочной железы с точки зрения женской репродуктивной системы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pStyle w:val="941"/>
              <w:ind w:left="83" w:right="67" w:hanging="8"/>
              <w:jc w:val="both"/>
              <w:spacing w:after="20" w:line="276" w:lineRule="auto"/>
              <w:tabs>
                <w:tab w:val="left" w:pos="-151" w:leader="none"/>
                <w:tab w:val="left" w:pos="-49" w:leader="none"/>
                <w:tab w:val="left" w:pos="8009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Асатурова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Вячеславовна, Иванов Илья Андреевич (Москва)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1"/>
              <w:ind w:left="83" w:right="67" w:hanging="8"/>
              <w:jc w:val="both"/>
              <w:spacing w:after="20" w:line="276" w:lineRule="auto"/>
              <w:tabs>
                <w:tab w:val="left" w:pos="-151" w:leader="none"/>
                <w:tab w:val="left" w:pos="-49" w:leader="none"/>
                <w:tab w:val="left" w:pos="8009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Ожидаемый образовательный результат –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систематизируют знания о влиянии рака молочной железы на женскую репродуктивную систему.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1"/>
              <w:ind w:left="83" w:right="67" w:hanging="8"/>
              <w:spacing w:after="20" w:line="276" w:lineRule="auto"/>
              <w:tabs>
                <w:tab w:val="left" w:pos="-151" w:leader="none"/>
                <w:tab w:val="left" w:pos="-49" w:leader="none"/>
                <w:tab w:val="left" w:pos="8009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Будут обсуждены вопросы: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1"/>
              <w:numPr>
                <w:ilvl w:val="0"/>
                <w:numId w:val="42"/>
              </w:numPr>
              <w:ind w:left="567" w:right="67" w:hanging="284"/>
              <w:jc w:val="both"/>
              <w:spacing w:after="20" w:line="276" w:lineRule="auto"/>
              <w:tabs>
                <w:tab w:val="left" w:pos="-151" w:leader="none"/>
                <w:tab w:val="left" w:pos="-49" w:leader="none"/>
                <w:tab w:val="left" w:pos="8009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метастатическое поражение органов репродуктивной системы при РМЖ: дифференциальная диагностика с первичными опухолями,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иммуногистохимические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панели;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1"/>
              <w:numPr>
                <w:ilvl w:val="0"/>
                <w:numId w:val="42"/>
              </w:numPr>
              <w:ind w:left="567" w:right="67" w:hanging="284"/>
              <w:jc w:val="both"/>
              <w:spacing w:after="20" w:line="276" w:lineRule="auto"/>
              <w:tabs>
                <w:tab w:val="left" w:pos="-151" w:leader="none"/>
                <w:tab w:val="left" w:pos="-49" w:leader="none"/>
                <w:tab w:val="left" w:pos="8009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влияние терапии РМЖ на органы репродуктивной системы женщины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тамоксифен/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летрозол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-ассоциированные поражения эндометрия и их предотвращение;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1"/>
              <w:numPr>
                <w:ilvl w:val="0"/>
                <w:numId w:val="42"/>
              </w:numPr>
              <w:ind w:left="567" w:right="67" w:hanging="284"/>
              <w:jc w:val="both"/>
              <w:spacing w:after="20" w:line="276" w:lineRule="auto"/>
              <w:tabs>
                <w:tab w:val="left" w:pos="-151" w:leader="none"/>
                <w:tab w:val="left" w:pos="-49" w:leader="none"/>
                <w:tab w:val="left" w:pos="8009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молекулярно-биологические различ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 во влиянии гормонотерапии на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РМЖ и неизмененный эндометрий/рак эндометрия.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55" w:type="dxa"/>
            <w:textDirection w:val="lrTb"/>
            <w:noWrap w:val="false"/>
          </w:tcPr>
          <w:p>
            <w:pPr>
              <w:ind w:left="107"/>
              <w:jc w:val="both"/>
              <w:spacing w:after="20" w:line="276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13:00</w:t>
            </w:r>
            <w:r>
              <w:rPr>
                <w:rFonts w:ascii="Times New Roman" w:hAnsi="Times New Roman" w:eastAsia="Calibri" w:cs="Times New Roman"/>
                <w:i/>
                <w:color w:val="000000" w:themeColor="text1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13:10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r>
          </w:p>
          <w:p>
            <w:pPr>
              <w:ind w:left="107"/>
              <w:jc w:val="both"/>
              <w:spacing w:after="20" w:line="276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10 мин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948" w:type="dxa"/>
            <w:textDirection w:val="lrTb"/>
            <w:noWrap w:val="false"/>
          </w:tcPr>
          <w:p>
            <w:pPr>
              <w:pStyle w:val="941"/>
              <w:ind w:left="83" w:right="67"/>
              <w:spacing w:after="20" w:line="276" w:lineRule="auto"/>
              <w:tabs>
                <w:tab w:val="left" w:pos="-151" w:leader="none"/>
                <w:tab w:val="left" w:pos="-49" w:leader="none"/>
                <w:tab w:val="left" w:pos="8009" w:leader="none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Дискуссия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</w:r>
          </w:p>
        </w:tc>
      </w:tr>
      <w:tr>
        <w:trPr/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55" w:type="dxa"/>
            <w:textDirection w:val="lrTb"/>
            <w:noWrap w:val="false"/>
          </w:tcPr>
          <w:p>
            <w:pPr>
              <w:ind w:left="107"/>
              <w:jc w:val="both"/>
              <w:spacing w:after="20" w:line="276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13:10</w:t>
            </w:r>
            <w:r>
              <w:rPr>
                <w:rFonts w:ascii="Times New Roman" w:hAnsi="Times New Roman" w:eastAsia="Calibri" w:cs="Times New Roman"/>
                <w:i/>
                <w:color w:val="000000" w:themeColor="text1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:25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r>
          </w:p>
          <w:p>
            <w:pPr>
              <w:ind w:left="107"/>
              <w:jc w:val="both"/>
              <w:spacing w:after="20" w:line="276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15 мин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948" w:type="dxa"/>
            <w:textDirection w:val="lrTb"/>
            <w:noWrap w:val="false"/>
          </w:tcPr>
          <w:p>
            <w:pPr>
              <w:ind w:left="67" w:right="67"/>
              <w:spacing w:after="20" w:line="276" w:lineRule="auto"/>
              <w:tabs>
                <w:tab w:val="left" w:pos="-151" w:leader="none"/>
                <w:tab w:val="left" w:pos="8009" w:leader="none"/>
              </w:tabs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Подведение итогов. Завершение первого дня Конференции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r>
          </w:p>
        </w:tc>
      </w:tr>
    </w:tbl>
    <w:p>
      <w:pPr>
        <w:spacing w:after="0" w:line="276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spacing w:after="0" w:line="276" w:lineRule="auto"/>
        <w:rPr>
          <w:rFonts w:ascii="Times New Roman" w:hAnsi="Times New Roman" w:eastAsia="Times New Roman" w:cs="Times New Roman"/>
          <w:i/>
          <w:sz w:val="24"/>
          <w:szCs w:val="24"/>
        </w:rPr>
      </w:pPr>
      <w:r>
        <w:rPr>
          <w:rFonts w:ascii="Times New Roman" w:hAnsi="Times New Roman" w:eastAsia="Times New Roman" w:cs="Times New Roman"/>
          <w:i/>
          <w:sz w:val="24"/>
          <w:szCs w:val="24"/>
        </w:rPr>
      </w:r>
      <w:r>
        <w:rPr>
          <w:rFonts w:ascii="Times New Roman" w:hAnsi="Times New Roman" w:eastAsia="Times New Roman" w:cs="Times New Roman"/>
          <w:i/>
          <w:sz w:val="24"/>
          <w:szCs w:val="24"/>
        </w:rPr>
      </w:r>
    </w:p>
    <w:p>
      <w:pPr>
        <w:spacing w:after="0" w:line="276" w:lineRule="auto"/>
        <w:rPr>
          <w:rFonts w:ascii="Times New Roman" w:hAnsi="Times New Roman" w:eastAsia="Times New Roman" w:cs="Times New Roman"/>
          <w:i/>
          <w:sz w:val="24"/>
          <w:szCs w:val="24"/>
        </w:rPr>
      </w:pP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Руководитель научной программы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ab/>
      </w:r>
      <w:r>
        <w:rPr>
          <w:rFonts w:ascii="Times New Roman" w:hAnsi="Times New Roman" w:eastAsia="Times New Roman" w:cs="Times New Roman"/>
          <w:i/>
          <w:sz w:val="24"/>
          <w:szCs w:val="24"/>
        </w:rPr>
        <w:tab/>
        <w:t xml:space="preserve">_____________ / 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Сетдикова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 Г.Р.</w:t>
      </w:r>
      <w:r>
        <w:rPr>
          <w:rFonts w:ascii="Times New Roman" w:hAnsi="Times New Roman" w:eastAsia="Times New Roman" w:cs="Times New Roman"/>
          <w:i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Wingdings">
    <w:panose1 w:val="05010000000000000000"/>
  </w:font>
  <w:font w:name="Symbol">
    <w:panose1 w:val="05010000000000000000"/>
  </w:font>
  <w:font w:name="Segoe UI">
    <w:panose1 w:val="020B0502040504020204"/>
  </w:font>
  <w:font w:name="Courier New">
    <w:panose1 w:val="02070309020205020404"/>
  </w:font>
  <w:font w:name="Arial">
    <w:panose1 w:val="020B060402020202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852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572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92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12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732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452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72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92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12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502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852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572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92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12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732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452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72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92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12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95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515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3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5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75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9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1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35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55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hint="default" w:ascii="Symbol" w:hAnsi="Symbol"/>
        <w:sz w:val="20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hint="default" w:ascii="Symbol" w:hAnsi="Symbol"/>
        <w:sz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  <w:sz w:val="20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hint="default" w:ascii="Symbol" w:hAnsi="Symbol"/>
        <w:sz w:val="20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hint="default" w:ascii="Symbol" w:hAnsi="Symbol"/>
        <w:sz w:val="20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  <w:sz w:val="20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hint="default" w:ascii="Symbol" w:hAnsi="Symbol"/>
        <w:sz w:val="20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hint="default" w:ascii="Symbol" w:hAnsi="Symbol"/>
        <w:sz w:val="20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78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98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1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3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58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7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9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18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38" w:hanging="360"/>
      </w:pPr>
      <w:rPr>
        <w:rFonts w:hint="default" w:ascii="Wingdings" w:hAnsi="Wingdings"/>
      </w:r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852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572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92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12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732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452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72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92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12" w:hanging="360"/>
      </w:pPr>
      <w:rPr>
        <w:rFonts w:hint="default" w:ascii="Wingdings" w:hAnsi="Wingdings"/>
      </w:rPr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3"/>
  </w:num>
  <w:num w:numId="3">
    <w:abstractNumId w:val="37"/>
  </w:num>
  <w:num w:numId="4">
    <w:abstractNumId w:val="1"/>
  </w:num>
  <w:num w:numId="5">
    <w:abstractNumId w:val="4"/>
  </w:num>
  <w:num w:numId="6">
    <w:abstractNumId w:val="7"/>
  </w:num>
  <w:num w:numId="7">
    <w:abstractNumId w:val="16"/>
  </w:num>
  <w:num w:numId="8">
    <w:abstractNumId w:val="27"/>
  </w:num>
  <w:num w:numId="9">
    <w:abstractNumId w:val="21"/>
  </w:num>
  <w:num w:numId="10">
    <w:abstractNumId w:val="42"/>
  </w:num>
  <w:num w:numId="11">
    <w:abstractNumId w:val="26"/>
  </w:num>
  <w:num w:numId="12">
    <w:abstractNumId w:val="35"/>
  </w:num>
  <w:num w:numId="13">
    <w:abstractNumId w:val="34"/>
  </w:num>
  <w:num w:numId="14">
    <w:abstractNumId w:val="6"/>
  </w:num>
  <w:num w:numId="15">
    <w:abstractNumId w:val="15"/>
  </w:num>
  <w:num w:numId="16">
    <w:abstractNumId w:val="24"/>
  </w:num>
  <w:num w:numId="17">
    <w:abstractNumId w:val="20"/>
  </w:num>
  <w:num w:numId="18">
    <w:abstractNumId w:val="17"/>
  </w:num>
  <w:num w:numId="19">
    <w:abstractNumId w:val="3"/>
  </w:num>
  <w:num w:numId="20">
    <w:abstractNumId w:val="25"/>
  </w:num>
  <w:num w:numId="21">
    <w:abstractNumId w:val="41"/>
  </w:num>
  <w:num w:numId="22">
    <w:abstractNumId w:val="11"/>
  </w:num>
  <w:num w:numId="23">
    <w:abstractNumId w:val="19"/>
  </w:num>
  <w:num w:numId="24">
    <w:abstractNumId w:val="9"/>
  </w:num>
  <w:num w:numId="25">
    <w:abstractNumId w:val="18"/>
  </w:num>
  <w:num w:numId="26">
    <w:abstractNumId w:val="29"/>
  </w:num>
  <w:num w:numId="27">
    <w:abstractNumId w:val="2"/>
  </w:num>
  <w:num w:numId="28">
    <w:abstractNumId w:val="5"/>
  </w:num>
  <w:num w:numId="29">
    <w:abstractNumId w:val="23"/>
  </w:num>
  <w:num w:numId="30">
    <w:abstractNumId w:val="0"/>
  </w:num>
  <w:num w:numId="31">
    <w:abstractNumId w:val="30"/>
  </w:num>
  <w:num w:numId="32">
    <w:abstractNumId w:val="28"/>
  </w:num>
  <w:num w:numId="33">
    <w:abstractNumId w:val="13"/>
  </w:num>
  <w:num w:numId="34">
    <w:abstractNumId w:val="22"/>
  </w:num>
  <w:num w:numId="35">
    <w:abstractNumId w:val="31"/>
  </w:num>
  <w:num w:numId="36">
    <w:abstractNumId w:val="39"/>
  </w:num>
  <w:num w:numId="37">
    <w:abstractNumId w:val="10"/>
  </w:num>
  <w:num w:numId="38">
    <w:abstractNumId w:val="14"/>
  </w:num>
  <w:num w:numId="39">
    <w:abstractNumId w:val="12"/>
  </w:num>
  <w:num w:numId="40">
    <w:abstractNumId w:val="8"/>
  </w:num>
  <w:num w:numId="41">
    <w:abstractNumId w:val="40"/>
  </w:num>
  <w:num w:numId="42">
    <w:abstractNumId w:val="38"/>
  </w:num>
  <w:num w:numId="4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39" w:default="1">
    <w:name w:val="Normal"/>
    <w:qFormat/>
  </w:style>
  <w:style w:type="paragraph" w:styleId="740">
    <w:name w:val="Heading 1"/>
    <w:basedOn w:val="739"/>
    <w:link w:val="958"/>
    <w:uiPriority w:val="9"/>
    <w:qFormat/>
    <w:pPr>
      <w:spacing w:before="100" w:after="100" w:line="240" w:lineRule="auto"/>
      <w:outlineLvl w:val="0"/>
    </w:pPr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paragraph" w:styleId="741">
    <w:name w:val="Heading 2"/>
    <w:link w:val="906"/>
    <w:uiPriority w:val="9"/>
    <w:semiHidden/>
    <w:unhideWhenUsed/>
    <w:qFormat/>
    <w:pPr>
      <w:keepLines/>
      <w:keepNext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5b9bd5" w:themeColor="accent1"/>
      <w:sz w:val="26"/>
      <w:szCs w:val="26"/>
    </w:rPr>
  </w:style>
  <w:style w:type="paragraph" w:styleId="742">
    <w:name w:val="Heading 3"/>
    <w:basedOn w:val="739"/>
    <w:next w:val="739"/>
    <w:link w:val="959"/>
    <w:uiPriority w:val="9"/>
    <w:semiHidden/>
    <w:unhideWhenUsed/>
    <w:qFormat/>
    <w:pPr>
      <w:keepLines/>
      <w:keepNext/>
      <w:spacing w:before="40" w:after="0"/>
      <w:outlineLvl w:val="2"/>
    </w:pPr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paragraph" w:styleId="743">
    <w:name w:val="Heading 4"/>
    <w:link w:val="908"/>
    <w:uiPriority w:val="9"/>
    <w:semiHidden/>
    <w:unhideWhenUsed/>
    <w:qFormat/>
    <w:pPr>
      <w:keepLines/>
      <w:keepNext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5b9bd5" w:themeColor="accent1"/>
    </w:rPr>
  </w:style>
  <w:style w:type="paragraph" w:styleId="744">
    <w:name w:val="Heading 5"/>
    <w:link w:val="909"/>
    <w:uiPriority w:val="9"/>
    <w:semiHidden/>
    <w:unhideWhenUsed/>
    <w:qFormat/>
    <w:pPr>
      <w:keepLines/>
      <w:keepNext/>
      <w:spacing w:before="200" w:after="0"/>
      <w:outlineLvl w:val="4"/>
    </w:pPr>
    <w:rPr>
      <w:rFonts w:asciiTheme="majorHAnsi" w:hAnsiTheme="majorHAnsi" w:eastAsiaTheme="majorEastAsia" w:cstheme="majorBidi"/>
      <w:color w:val="1f4d78" w:themeColor="accent1" w:themeShade="7F"/>
    </w:rPr>
  </w:style>
  <w:style w:type="paragraph" w:styleId="745">
    <w:name w:val="Heading 6"/>
    <w:link w:val="910"/>
    <w:uiPriority w:val="9"/>
    <w:semiHidden/>
    <w:unhideWhenUsed/>
    <w:qFormat/>
    <w:pPr>
      <w:keepLines/>
      <w:keepNext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1f4d78" w:themeColor="accent1" w:themeShade="7F"/>
    </w:rPr>
  </w:style>
  <w:style w:type="paragraph" w:styleId="746">
    <w:name w:val="Heading 7"/>
    <w:link w:val="911"/>
    <w:uiPriority w:val="9"/>
    <w:semiHidden/>
    <w:unhideWhenUsed/>
    <w:qFormat/>
    <w:pPr>
      <w:keepLines/>
      <w:keepNext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747">
    <w:name w:val="Heading 8"/>
    <w:link w:val="912"/>
    <w:uiPriority w:val="9"/>
    <w:semiHidden/>
    <w:unhideWhenUsed/>
    <w:qFormat/>
    <w:pPr>
      <w:keepLines/>
      <w:keepNext/>
      <w:spacing w:before="200" w:after="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748">
    <w:name w:val="Heading 9"/>
    <w:link w:val="913"/>
    <w:uiPriority w:val="9"/>
    <w:semiHidden/>
    <w:unhideWhenUsed/>
    <w:qFormat/>
    <w:pPr>
      <w:keepLines/>
      <w:keepNext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749" w:default="1">
    <w:name w:val="Default Paragraph Font"/>
    <w:uiPriority w:val="1"/>
    <w:semiHidden/>
    <w:unhideWhenUsed/>
  </w:style>
  <w:style w:type="table" w:styleId="75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51" w:default="1">
    <w:name w:val="No List"/>
    <w:uiPriority w:val="99"/>
    <w:semiHidden/>
    <w:unhideWhenUsed/>
  </w:style>
  <w:style w:type="character" w:styleId="752" w:customStyle="1">
    <w:name w:val="Caption Char"/>
    <w:uiPriority w:val="99"/>
  </w:style>
  <w:style w:type="table" w:styleId="753" w:customStyle="1">
    <w:name w:val="Table Grid Light"/>
    <w:basedOn w:val="75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54">
    <w:name w:val="Plain Table 1"/>
    <w:basedOn w:val="75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5">
    <w:name w:val="Plain Table 2"/>
    <w:basedOn w:val="750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6">
    <w:name w:val="Plain Table 3"/>
    <w:basedOn w:val="75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7">
    <w:name w:val="Plain Table 4"/>
    <w:basedOn w:val="75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Plain Table 5"/>
    <w:basedOn w:val="75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9">
    <w:name w:val="Grid Table 1 Light"/>
    <w:basedOn w:val="7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Grid Table 1 Light - Accent 1"/>
    <w:basedOn w:val="7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Grid Table 1 Light - Accent 2"/>
    <w:basedOn w:val="7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Grid Table 1 Light - Accent 3"/>
    <w:basedOn w:val="7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Grid Table 1 Light - Accent 4"/>
    <w:basedOn w:val="7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Grid Table 1 Light - Accent 5"/>
    <w:basedOn w:val="7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Grid Table 1 Light - Accent 6"/>
    <w:basedOn w:val="7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Grid Table 2"/>
    <w:basedOn w:val="75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2 - Accent 1"/>
    <w:basedOn w:val="75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2 - Accent 2"/>
    <w:basedOn w:val="75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2 - Accent 3"/>
    <w:basedOn w:val="75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2 - Accent 4"/>
    <w:basedOn w:val="75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2 - Accent 5"/>
    <w:basedOn w:val="75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2 - Accent 6"/>
    <w:basedOn w:val="75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"/>
    <w:basedOn w:val="75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3 - Accent 1"/>
    <w:basedOn w:val="75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3 - Accent 2"/>
    <w:basedOn w:val="75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3 - Accent 3"/>
    <w:basedOn w:val="75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3 - Accent 4"/>
    <w:basedOn w:val="75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3 - Accent 5"/>
    <w:basedOn w:val="75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3 - Accent 6"/>
    <w:basedOn w:val="75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4"/>
    <w:basedOn w:val="750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1" w:customStyle="1">
    <w:name w:val="Grid Table 4 - Accent 1"/>
    <w:basedOn w:val="750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82" w:customStyle="1">
    <w:name w:val="Grid Table 4 - Accent 2"/>
    <w:basedOn w:val="750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83" w:customStyle="1">
    <w:name w:val="Grid Table 4 - Accent 3"/>
    <w:basedOn w:val="750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84" w:customStyle="1">
    <w:name w:val="Grid Table 4 - Accent 4"/>
    <w:basedOn w:val="750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85" w:customStyle="1">
    <w:name w:val="Grid Table 4 - Accent 5"/>
    <w:basedOn w:val="750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86" w:customStyle="1">
    <w:name w:val="Grid Table 4 - Accent 6"/>
    <w:basedOn w:val="750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87">
    <w:name w:val="Grid Table 5 Dark"/>
    <w:basedOn w:val="7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8" w:customStyle="1">
    <w:name w:val="Grid Table 5 Dark- Accent 1"/>
    <w:basedOn w:val="7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89" w:customStyle="1">
    <w:name w:val="Grid Table 5 Dark - Accent 2"/>
    <w:basedOn w:val="7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90" w:customStyle="1">
    <w:name w:val="Grid Table 5 Dark - Accent 3"/>
    <w:basedOn w:val="7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91" w:customStyle="1">
    <w:name w:val="Grid Table 5 Dark- Accent 4"/>
    <w:basedOn w:val="7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92" w:customStyle="1">
    <w:name w:val="Grid Table 5 Dark - Accent 5"/>
    <w:basedOn w:val="7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93" w:customStyle="1">
    <w:name w:val="Grid Table 5 Dark - Accent 6"/>
    <w:basedOn w:val="7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94">
    <w:name w:val="Grid Table 6 Colorful"/>
    <w:basedOn w:val="7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5" w:customStyle="1">
    <w:name w:val="Grid Table 6 Colorful - Accent 1"/>
    <w:basedOn w:val="7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96" w:customStyle="1">
    <w:name w:val="Grid Table 6 Colorful - Accent 2"/>
    <w:basedOn w:val="7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97" w:customStyle="1">
    <w:name w:val="Grid Table 6 Colorful - Accent 3"/>
    <w:basedOn w:val="7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98" w:customStyle="1">
    <w:name w:val="Grid Table 6 Colorful - Accent 4"/>
    <w:basedOn w:val="7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99" w:customStyle="1">
    <w:name w:val="Grid Table 6 Colorful - Accent 5"/>
    <w:basedOn w:val="7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0" w:customStyle="1">
    <w:name w:val="Grid Table 6 Colorful - Accent 6"/>
    <w:basedOn w:val="7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1">
    <w:name w:val="Grid Table 7 Colorful"/>
    <w:basedOn w:val="75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2" w:customStyle="1">
    <w:name w:val="Grid Table 7 Colorful - Accent 1"/>
    <w:basedOn w:val="75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3" w:customStyle="1">
    <w:name w:val="Grid Table 7 Colorful - Accent 2"/>
    <w:basedOn w:val="75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4" w:customStyle="1">
    <w:name w:val="Grid Table 7 Colorful - Accent 3"/>
    <w:basedOn w:val="75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5" w:customStyle="1">
    <w:name w:val="Grid Table 7 Colorful - Accent 4"/>
    <w:basedOn w:val="75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6" w:customStyle="1">
    <w:name w:val="Grid Table 7 Colorful - Accent 5"/>
    <w:basedOn w:val="75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7" w:customStyle="1">
    <w:name w:val="Grid Table 7 Colorful - Accent 6"/>
    <w:basedOn w:val="75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8">
    <w:name w:val="List Table 1 Light"/>
    <w:basedOn w:val="75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1 Light - Accent 1"/>
    <w:basedOn w:val="75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1 Light - Accent 2"/>
    <w:basedOn w:val="75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1 Light - Accent 3"/>
    <w:basedOn w:val="75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1 Light - Accent 4"/>
    <w:basedOn w:val="75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1 Light - Accent 5"/>
    <w:basedOn w:val="75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1 Light - Accent 6"/>
    <w:basedOn w:val="75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List Table 2"/>
    <w:basedOn w:val="7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6" w:customStyle="1">
    <w:name w:val="List Table 2 - Accent 1"/>
    <w:basedOn w:val="7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17" w:customStyle="1">
    <w:name w:val="List Table 2 - Accent 2"/>
    <w:basedOn w:val="7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18" w:customStyle="1">
    <w:name w:val="List Table 2 - Accent 3"/>
    <w:basedOn w:val="7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19" w:customStyle="1">
    <w:name w:val="List Table 2 - Accent 4"/>
    <w:basedOn w:val="7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20" w:customStyle="1">
    <w:name w:val="List Table 2 - Accent 5"/>
    <w:basedOn w:val="7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21" w:customStyle="1">
    <w:name w:val="List Table 2 - Accent 6"/>
    <w:basedOn w:val="7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22">
    <w:name w:val="List Table 3"/>
    <w:basedOn w:val="7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3 - Accent 1"/>
    <w:basedOn w:val="7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3 - Accent 2"/>
    <w:basedOn w:val="7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3 - Accent 3"/>
    <w:basedOn w:val="7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3 - Accent 4"/>
    <w:basedOn w:val="7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3 - Accent 5"/>
    <w:basedOn w:val="7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3 - Accent 6"/>
    <w:basedOn w:val="7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"/>
    <w:basedOn w:val="7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4 - Accent 1"/>
    <w:basedOn w:val="7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4 - Accent 2"/>
    <w:basedOn w:val="7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4 - Accent 3"/>
    <w:basedOn w:val="7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4 - Accent 4"/>
    <w:basedOn w:val="7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4 - Accent 5"/>
    <w:basedOn w:val="7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4 - Accent 6"/>
    <w:basedOn w:val="7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5 Dark"/>
    <w:basedOn w:val="7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7" w:customStyle="1">
    <w:name w:val="List Table 5 Dark - Accent 1"/>
    <w:basedOn w:val="7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8" w:customStyle="1">
    <w:name w:val="List Table 5 Dark - Accent 2"/>
    <w:basedOn w:val="7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9" w:customStyle="1">
    <w:name w:val="List Table 5 Dark - Accent 3"/>
    <w:basedOn w:val="7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0" w:customStyle="1">
    <w:name w:val="List Table 5 Dark - Accent 4"/>
    <w:basedOn w:val="7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1" w:customStyle="1">
    <w:name w:val="List Table 5 Dark - Accent 5"/>
    <w:basedOn w:val="7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2" w:customStyle="1">
    <w:name w:val="List Table 5 Dark - Accent 6"/>
    <w:basedOn w:val="7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3">
    <w:name w:val="List Table 6 Colorful"/>
    <w:basedOn w:val="7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4" w:customStyle="1">
    <w:name w:val="List Table 6 Colorful - Accent 1"/>
    <w:basedOn w:val="7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45" w:customStyle="1">
    <w:name w:val="List Table 6 Colorful - Accent 2"/>
    <w:basedOn w:val="7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46" w:customStyle="1">
    <w:name w:val="List Table 6 Colorful - Accent 3"/>
    <w:basedOn w:val="7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47" w:customStyle="1">
    <w:name w:val="List Table 6 Colorful - Accent 4"/>
    <w:basedOn w:val="7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48" w:customStyle="1">
    <w:name w:val="List Table 6 Colorful - Accent 5"/>
    <w:basedOn w:val="7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49" w:customStyle="1">
    <w:name w:val="List Table 6 Colorful - Accent 6"/>
    <w:basedOn w:val="7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50">
    <w:name w:val="List Table 7 Colorful"/>
    <w:basedOn w:val="75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1" w:customStyle="1">
    <w:name w:val="List Table 7 Colorful - Accent 1"/>
    <w:basedOn w:val="75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2" w:customStyle="1">
    <w:name w:val="List Table 7 Colorful - Accent 2"/>
    <w:basedOn w:val="75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3" w:customStyle="1">
    <w:name w:val="List Table 7 Colorful - Accent 3"/>
    <w:basedOn w:val="75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4" w:customStyle="1">
    <w:name w:val="List Table 7 Colorful - Accent 4"/>
    <w:basedOn w:val="75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5" w:customStyle="1">
    <w:name w:val="List Table 7 Colorful - Accent 5"/>
    <w:basedOn w:val="75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6" w:customStyle="1">
    <w:name w:val="List Table 7 Colorful - Accent 6"/>
    <w:basedOn w:val="75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7" w:customStyle="1">
    <w:name w:val="Lined - Accent"/>
    <w:basedOn w:val="75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8" w:customStyle="1">
    <w:name w:val="Lined - Accent 1"/>
    <w:basedOn w:val="75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59" w:customStyle="1">
    <w:name w:val="Lined - Accent 2"/>
    <w:basedOn w:val="75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60" w:customStyle="1">
    <w:name w:val="Lined - Accent 3"/>
    <w:basedOn w:val="75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61" w:customStyle="1">
    <w:name w:val="Lined - Accent 4"/>
    <w:basedOn w:val="75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62" w:customStyle="1">
    <w:name w:val="Lined - Accent 5"/>
    <w:basedOn w:val="75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63" w:customStyle="1">
    <w:name w:val="Lined - Accent 6"/>
    <w:basedOn w:val="75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4" w:customStyle="1">
    <w:name w:val="Bordered &amp; Lined - Accent"/>
    <w:basedOn w:val="75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5" w:customStyle="1">
    <w:name w:val="Bordered &amp; Lined - Accent 1"/>
    <w:basedOn w:val="75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66" w:customStyle="1">
    <w:name w:val="Bordered &amp; Lined - Accent 2"/>
    <w:basedOn w:val="75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67" w:customStyle="1">
    <w:name w:val="Bordered &amp; Lined - Accent 3"/>
    <w:basedOn w:val="75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68" w:customStyle="1">
    <w:name w:val="Bordered &amp; Lined - Accent 4"/>
    <w:basedOn w:val="75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69" w:customStyle="1">
    <w:name w:val="Bordered &amp; Lined - Accent 5"/>
    <w:basedOn w:val="75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70" w:customStyle="1">
    <w:name w:val="Bordered &amp; Lined - Accent 6"/>
    <w:basedOn w:val="75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71" w:customStyle="1">
    <w:name w:val="Bordered"/>
    <w:basedOn w:val="7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2" w:customStyle="1">
    <w:name w:val="Bordered - Accent 1"/>
    <w:basedOn w:val="7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73" w:customStyle="1">
    <w:name w:val="Bordered - Accent 2"/>
    <w:basedOn w:val="7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74" w:customStyle="1">
    <w:name w:val="Bordered - Accent 3"/>
    <w:basedOn w:val="7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75" w:customStyle="1">
    <w:name w:val="Bordered - Accent 4"/>
    <w:basedOn w:val="7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76" w:customStyle="1">
    <w:name w:val="Bordered - Accent 5"/>
    <w:basedOn w:val="7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77" w:customStyle="1">
    <w:name w:val="Bordered - Accent 6"/>
    <w:basedOn w:val="7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78">
    <w:name w:val="toc 1"/>
    <w:basedOn w:val="739"/>
    <w:next w:val="739"/>
    <w:uiPriority w:val="39"/>
    <w:unhideWhenUsed/>
    <w:pPr>
      <w:spacing w:after="57"/>
    </w:pPr>
  </w:style>
  <w:style w:type="paragraph" w:styleId="879">
    <w:name w:val="toc 2"/>
    <w:basedOn w:val="739"/>
    <w:next w:val="739"/>
    <w:uiPriority w:val="39"/>
    <w:unhideWhenUsed/>
    <w:pPr>
      <w:ind w:left="283"/>
      <w:spacing w:after="57"/>
    </w:pPr>
  </w:style>
  <w:style w:type="paragraph" w:styleId="880">
    <w:name w:val="toc 3"/>
    <w:basedOn w:val="739"/>
    <w:next w:val="739"/>
    <w:uiPriority w:val="39"/>
    <w:unhideWhenUsed/>
    <w:pPr>
      <w:ind w:left="567"/>
      <w:spacing w:after="57"/>
    </w:pPr>
  </w:style>
  <w:style w:type="paragraph" w:styleId="881">
    <w:name w:val="toc 4"/>
    <w:basedOn w:val="739"/>
    <w:next w:val="739"/>
    <w:uiPriority w:val="39"/>
    <w:unhideWhenUsed/>
    <w:pPr>
      <w:ind w:left="850"/>
      <w:spacing w:after="57"/>
    </w:pPr>
  </w:style>
  <w:style w:type="paragraph" w:styleId="882">
    <w:name w:val="toc 5"/>
    <w:basedOn w:val="739"/>
    <w:next w:val="739"/>
    <w:uiPriority w:val="39"/>
    <w:unhideWhenUsed/>
    <w:pPr>
      <w:ind w:left="1134"/>
      <w:spacing w:after="57"/>
    </w:pPr>
  </w:style>
  <w:style w:type="paragraph" w:styleId="883">
    <w:name w:val="toc 6"/>
    <w:basedOn w:val="739"/>
    <w:next w:val="739"/>
    <w:uiPriority w:val="39"/>
    <w:unhideWhenUsed/>
    <w:pPr>
      <w:ind w:left="1417"/>
      <w:spacing w:after="57"/>
    </w:pPr>
  </w:style>
  <w:style w:type="paragraph" w:styleId="884">
    <w:name w:val="toc 7"/>
    <w:basedOn w:val="739"/>
    <w:next w:val="739"/>
    <w:uiPriority w:val="39"/>
    <w:unhideWhenUsed/>
    <w:pPr>
      <w:ind w:left="1701"/>
      <w:spacing w:after="57"/>
    </w:pPr>
  </w:style>
  <w:style w:type="paragraph" w:styleId="885">
    <w:name w:val="toc 8"/>
    <w:basedOn w:val="739"/>
    <w:next w:val="739"/>
    <w:uiPriority w:val="39"/>
    <w:unhideWhenUsed/>
    <w:pPr>
      <w:ind w:left="1984"/>
      <w:spacing w:after="57"/>
    </w:pPr>
  </w:style>
  <w:style w:type="paragraph" w:styleId="886">
    <w:name w:val="toc 9"/>
    <w:basedOn w:val="739"/>
    <w:next w:val="739"/>
    <w:uiPriority w:val="39"/>
    <w:unhideWhenUsed/>
    <w:pPr>
      <w:ind w:left="2268"/>
      <w:spacing w:after="57"/>
    </w:pPr>
  </w:style>
  <w:style w:type="paragraph" w:styleId="887">
    <w:name w:val="TOC Heading"/>
    <w:uiPriority w:val="39"/>
    <w:unhideWhenUsed/>
  </w:style>
  <w:style w:type="paragraph" w:styleId="888">
    <w:name w:val="table of figures"/>
    <w:basedOn w:val="739"/>
    <w:next w:val="739"/>
    <w:uiPriority w:val="99"/>
    <w:unhideWhenUsed/>
    <w:pPr>
      <w:spacing w:after="0"/>
    </w:pPr>
  </w:style>
  <w:style w:type="character" w:styleId="889" w:customStyle="1">
    <w:name w:val="Heading 2 Char"/>
    <w:uiPriority w:val="9"/>
    <w:rPr>
      <w:rFonts w:asciiTheme="majorHAnsi" w:hAnsiTheme="majorHAnsi" w:eastAsiaTheme="majorEastAsia" w:cstheme="majorBidi"/>
      <w:b/>
      <w:bCs/>
      <w:color w:val="5b9bd5" w:themeColor="accent1"/>
      <w:sz w:val="26"/>
      <w:szCs w:val="26"/>
    </w:rPr>
  </w:style>
  <w:style w:type="character" w:styleId="890" w:customStyle="1">
    <w:name w:val="Heading 4 Char"/>
    <w:uiPriority w:val="9"/>
    <w:rPr>
      <w:rFonts w:asciiTheme="majorHAnsi" w:hAnsiTheme="majorHAnsi" w:eastAsiaTheme="majorEastAsia" w:cstheme="majorBidi"/>
      <w:b/>
      <w:bCs/>
      <w:i/>
      <w:iCs/>
      <w:color w:val="5b9bd5" w:themeColor="accent1"/>
    </w:rPr>
  </w:style>
  <w:style w:type="character" w:styleId="891" w:customStyle="1">
    <w:name w:val="Heading 5 Char"/>
    <w:uiPriority w:val="9"/>
    <w:rPr>
      <w:rFonts w:asciiTheme="majorHAnsi" w:hAnsiTheme="majorHAnsi" w:eastAsiaTheme="majorEastAsia" w:cstheme="majorBidi"/>
      <w:color w:val="1f4d78" w:themeColor="accent1" w:themeShade="7F"/>
    </w:rPr>
  </w:style>
  <w:style w:type="character" w:styleId="892" w:customStyle="1">
    <w:name w:val="Heading 6 Char"/>
    <w:uiPriority w:val="9"/>
    <w:rPr>
      <w:rFonts w:asciiTheme="majorHAnsi" w:hAnsiTheme="majorHAnsi" w:eastAsiaTheme="majorEastAsia" w:cstheme="majorBidi"/>
      <w:i/>
      <w:iCs/>
      <w:color w:val="1f4d78" w:themeColor="accent1" w:themeShade="7F"/>
    </w:rPr>
  </w:style>
  <w:style w:type="character" w:styleId="893" w:customStyle="1">
    <w:name w:val="Heading 7 Char"/>
    <w:uiPriority w:val="9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894" w:customStyle="1">
    <w:name w:val="Heading 8 Char"/>
    <w:uiPriority w:val="9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895" w:customStyle="1">
    <w:name w:val="Heading 9 Char"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896" w:customStyle="1">
    <w:name w:val="Title Char"/>
    <w:uiPriority w:val="10"/>
    <w:rPr>
      <w:rFonts w:asciiTheme="majorHAnsi" w:hAnsiTheme="majorHAnsi" w:eastAsiaTheme="majorEastAsia" w:cstheme="majorBidi"/>
      <w:color w:val="323e4f" w:themeColor="text2" w:themeShade="BF"/>
      <w:spacing w:val="5"/>
      <w:sz w:val="52"/>
      <w:szCs w:val="52"/>
    </w:rPr>
  </w:style>
  <w:style w:type="character" w:styleId="897" w:customStyle="1">
    <w:name w:val="Subtitle Char"/>
    <w:uiPriority w:val="11"/>
    <w:rPr>
      <w:rFonts w:asciiTheme="majorHAnsi" w:hAnsiTheme="majorHAnsi" w:eastAsiaTheme="majorEastAsia" w:cstheme="majorBidi"/>
      <w:i/>
      <w:iCs/>
      <w:color w:val="5b9bd5" w:themeColor="accent1"/>
      <w:spacing w:val="15"/>
      <w:sz w:val="24"/>
      <w:szCs w:val="24"/>
    </w:rPr>
  </w:style>
  <w:style w:type="character" w:styleId="898" w:customStyle="1">
    <w:name w:val="Quote Char"/>
    <w:uiPriority w:val="29"/>
    <w:rPr>
      <w:i/>
      <w:iCs/>
      <w:color w:val="000000" w:themeColor="text1"/>
    </w:rPr>
  </w:style>
  <w:style w:type="character" w:styleId="899" w:customStyle="1">
    <w:name w:val="Intense Quote Char"/>
    <w:uiPriority w:val="30"/>
    <w:rPr>
      <w:b/>
      <w:bCs/>
      <w:i/>
      <w:iCs/>
      <w:color w:val="5b9bd5" w:themeColor="accent1"/>
    </w:rPr>
  </w:style>
  <w:style w:type="character" w:styleId="900" w:customStyle="1">
    <w:name w:val="Footnote Text Char"/>
    <w:uiPriority w:val="99"/>
    <w:semiHidden/>
    <w:rPr>
      <w:sz w:val="20"/>
      <w:szCs w:val="20"/>
    </w:rPr>
  </w:style>
  <w:style w:type="character" w:styleId="901" w:customStyle="1">
    <w:name w:val="Endnote Text Char"/>
    <w:uiPriority w:val="99"/>
    <w:semiHidden/>
    <w:rPr>
      <w:sz w:val="20"/>
      <w:szCs w:val="20"/>
    </w:rPr>
  </w:style>
  <w:style w:type="character" w:styleId="902" w:customStyle="1">
    <w:name w:val="Plain Text Char"/>
    <w:uiPriority w:val="99"/>
    <w:rPr>
      <w:rFonts w:ascii="Courier New" w:hAnsi="Courier New" w:cs="Courier New"/>
      <w:sz w:val="21"/>
      <w:szCs w:val="21"/>
    </w:rPr>
  </w:style>
  <w:style w:type="character" w:styleId="903" w:customStyle="1">
    <w:name w:val="Header Char"/>
    <w:uiPriority w:val="99"/>
  </w:style>
  <w:style w:type="character" w:styleId="904" w:customStyle="1">
    <w:name w:val="Footer Char"/>
    <w:uiPriority w:val="99"/>
  </w:style>
  <w:style w:type="character" w:styleId="905" w:customStyle="1">
    <w:name w:val="Heading 1 Char"/>
    <w:uiPriority w:val="9"/>
    <w:rPr>
      <w:rFonts w:asciiTheme="majorHAnsi" w:hAnsiTheme="majorHAnsi" w:eastAsiaTheme="majorEastAsia" w:cstheme="majorBidi"/>
      <w:b/>
      <w:bCs/>
      <w:color w:val="2e74b5" w:themeColor="accent1" w:themeShade="BF"/>
      <w:sz w:val="28"/>
      <w:szCs w:val="28"/>
    </w:rPr>
  </w:style>
  <w:style w:type="character" w:styleId="906" w:customStyle="1">
    <w:name w:val="Заголовок 2 Знак"/>
    <w:link w:val="741"/>
    <w:uiPriority w:val="9"/>
    <w:rPr>
      <w:rFonts w:asciiTheme="majorHAnsi" w:hAnsiTheme="majorHAnsi" w:eastAsiaTheme="majorEastAsia" w:cstheme="majorBidi"/>
      <w:b/>
      <w:bCs/>
      <w:color w:val="5b9bd5" w:themeColor="accent1"/>
      <w:sz w:val="26"/>
      <w:szCs w:val="26"/>
    </w:rPr>
  </w:style>
  <w:style w:type="character" w:styleId="907" w:customStyle="1">
    <w:name w:val="Heading 3 Char"/>
    <w:uiPriority w:val="9"/>
    <w:rPr>
      <w:rFonts w:asciiTheme="majorHAnsi" w:hAnsiTheme="majorHAnsi" w:eastAsiaTheme="majorEastAsia" w:cstheme="majorBidi"/>
      <w:b/>
      <w:bCs/>
      <w:color w:val="5b9bd5" w:themeColor="accent1"/>
    </w:rPr>
  </w:style>
  <w:style w:type="character" w:styleId="908" w:customStyle="1">
    <w:name w:val="Заголовок 4 Знак"/>
    <w:link w:val="743"/>
    <w:uiPriority w:val="9"/>
    <w:rPr>
      <w:rFonts w:asciiTheme="majorHAnsi" w:hAnsiTheme="majorHAnsi" w:eastAsiaTheme="majorEastAsia" w:cstheme="majorBidi"/>
      <w:b/>
      <w:bCs/>
      <w:i/>
      <w:iCs/>
      <w:color w:val="5b9bd5" w:themeColor="accent1"/>
    </w:rPr>
  </w:style>
  <w:style w:type="character" w:styleId="909" w:customStyle="1">
    <w:name w:val="Заголовок 5 Знак"/>
    <w:link w:val="744"/>
    <w:uiPriority w:val="9"/>
    <w:rPr>
      <w:rFonts w:asciiTheme="majorHAnsi" w:hAnsiTheme="majorHAnsi" w:eastAsiaTheme="majorEastAsia" w:cstheme="majorBidi"/>
      <w:color w:val="1f4d78" w:themeColor="accent1" w:themeShade="7F"/>
    </w:rPr>
  </w:style>
  <w:style w:type="character" w:styleId="910" w:customStyle="1">
    <w:name w:val="Заголовок 6 Знак"/>
    <w:link w:val="745"/>
    <w:uiPriority w:val="9"/>
    <w:rPr>
      <w:rFonts w:asciiTheme="majorHAnsi" w:hAnsiTheme="majorHAnsi" w:eastAsiaTheme="majorEastAsia" w:cstheme="majorBidi"/>
      <w:i/>
      <w:iCs/>
      <w:color w:val="1f4d78" w:themeColor="accent1" w:themeShade="7F"/>
    </w:rPr>
  </w:style>
  <w:style w:type="character" w:styleId="911" w:customStyle="1">
    <w:name w:val="Заголовок 7 Знак"/>
    <w:link w:val="746"/>
    <w:uiPriority w:val="9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912" w:customStyle="1">
    <w:name w:val="Заголовок 8 Знак"/>
    <w:link w:val="747"/>
    <w:uiPriority w:val="9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913" w:customStyle="1">
    <w:name w:val="Заголовок 9 Знак"/>
    <w:link w:val="748"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914">
    <w:name w:val="Title"/>
    <w:link w:val="915"/>
    <w:uiPriority w:val="10"/>
    <w:qFormat/>
    <w:pPr>
      <w:contextualSpacing/>
      <w:spacing w:after="300" w:line="240" w:lineRule="auto"/>
      <w:pBdr>
        <w:bottom w:val="single" w:color="5B9BD5" w:themeColor="accent1" w:sz="8" w:space="4"/>
      </w:pBdr>
    </w:pPr>
    <w:rPr>
      <w:rFonts w:asciiTheme="majorHAnsi" w:hAnsiTheme="majorHAnsi" w:eastAsiaTheme="majorEastAsia" w:cstheme="majorBidi"/>
      <w:color w:val="323e4f" w:themeColor="text2" w:themeShade="BF"/>
      <w:spacing w:val="5"/>
      <w:sz w:val="52"/>
      <w:szCs w:val="52"/>
    </w:rPr>
  </w:style>
  <w:style w:type="character" w:styleId="915" w:customStyle="1">
    <w:name w:val="Заголовок Знак"/>
    <w:link w:val="914"/>
    <w:uiPriority w:val="10"/>
    <w:rPr>
      <w:rFonts w:asciiTheme="majorHAnsi" w:hAnsiTheme="majorHAnsi" w:eastAsiaTheme="majorEastAsia" w:cstheme="majorBidi"/>
      <w:color w:val="323e4f" w:themeColor="text2" w:themeShade="BF"/>
      <w:spacing w:val="5"/>
      <w:sz w:val="52"/>
      <w:szCs w:val="52"/>
    </w:rPr>
  </w:style>
  <w:style w:type="paragraph" w:styleId="916">
    <w:name w:val="Subtitle"/>
    <w:link w:val="917"/>
    <w:uiPriority w:val="11"/>
    <w:qFormat/>
    <w:rPr>
      <w:rFonts w:asciiTheme="majorHAnsi" w:hAnsiTheme="majorHAnsi" w:eastAsiaTheme="majorEastAsia" w:cstheme="majorBidi"/>
      <w:i/>
      <w:iCs/>
      <w:color w:val="5b9bd5" w:themeColor="accent1"/>
      <w:spacing w:val="15"/>
      <w:sz w:val="24"/>
      <w:szCs w:val="24"/>
    </w:rPr>
  </w:style>
  <w:style w:type="character" w:styleId="917" w:customStyle="1">
    <w:name w:val="Подзаголовок Знак"/>
    <w:link w:val="916"/>
    <w:uiPriority w:val="11"/>
    <w:rPr>
      <w:rFonts w:asciiTheme="majorHAnsi" w:hAnsiTheme="majorHAnsi" w:eastAsiaTheme="majorEastAsia" w:cstheme="majorBidi"/>
      <w:i/>
      <w:iCs/>
      <w:color w:val="5b9bd5" w:themeColor="accent1"/>
      <w:spacing w:val="15"/>
      <w:sz w:val="24"/>
      <w:szCs w:val="24"/>
    </w:rPr>
  </w:style>
  <w:style w:type="character" w:styleId="918">
    <w:name w:val="Subtle Emphasis"/>
    <w:uiPriority w:val="19"/>
    <w:qFormat/>
    <w:rPr>
      <w:i/>
      <w:iCs/>
      <w:color w:val="808080" w:themeColor="text1" w:themeTint="7F"/>
    </w:rPr>
  </w:style>
  <w:style w:type="character" w:styleId="919">
    <w:name w:val="Emphasis"/>
    <w:uiPriority w:val="20"/>
    <w:qFormat/>
    <w:rPr>
      <w:i/>
      <w:iCs/>
    </w:rPr>
  </w:style>
  <w:style w:type="character" w:styleId="920">
    <w:name w:val="Intense Emphasis"/>
    <w:uiPriority w:val="21"/>
    <w:qFormat/>
    <w:rPr>
      <w:b/>
      <w:bCs/>
      <w:i/>
      <w:iCs/>
      <w:color w:val="5b9bd5" w:themeColor="accent1"/>
    </w:rPr>
  </w:style>
  <w:style w:type="paragraph" w:styleId="921">
    <w:name w:val="Quote"/>
    <w:link w:val="922"/>
    <w:uiPriority w:val="29"/>
    <w:qFormat/>
    <w:rPr>
      <w:i/>
      <w:iCs/>
      <w:color w:val="000000" w:themeColor="text1"/>
    </w:rPr>
  </w:style>
  <w:style w:type="character" w:styleId="922" w:customStyle="1">
    <w:name w:val="Цитата 2 Знак"/>
    <w:link w:val="921"/>
    <w:uiPriority w:val="29"/>
    <w:rPr>
      <w:i/>
      <w:iCs/>
      <w:color w:val="000000" w:themeColor="text1"/>
    </w:rPr>
  </w:style>
  <w:style w:type="paragraph" w:styleId="923">
    <w:name w:val="Intense Quote"/>
    <w:link w:val="924"/>
    <w:uiPriority w:val="30"/>
    <w:qFormat/>
    <w:pPr>
      <w:ind w:left="936" w:right="936"/>
      <w:spacing w:before="200" w:after="280"/>
      <w:pBdr>
        <w:bottom w:val="single" w:color="5B9BD5" w:themeColor="accent1" w:sz="4" w:space="4"/>
      </w:pBdr>
    </w:pPr>
    <w:rPr>
      <w:b/>
      <w:bCs/>
      <w:i/>
      <w:iCs/>
      <w:color w:val="5b9bd5" w:themeColor="accent1"/>
    </w:rPr>
  </w:style>
  <w:style w:type="character" w:styleId="924" w:customStyle="1">
    <w:name w:val="Выделенная цитата Знак"/>
    <w:link w:val="923"/>
    <w:uiPriority w:val="30"/>
    <w:rPr>
      <w:b/>
      <w:bCs/>
      <w:i/>
      <w:iCs/>
      <w:color w:val="5b9bd5" w:themeColor="accent1"/>
    </w:rPr>
  </w:style>
  <w:style w:type="character" w:styleId="925">
    <w:name w:val="Subtle Reference"/>
    <w:uiPriority w:val="31"/>
    <w:qFormat/>
    <w:rPr>
      <w:smallCaps/>
      <w:color w:val="ed7d31" w:themeColor="accent2"/>
      <w:u w:val="single"/>
    </w:rPr>
  </w:style>
  <w:style w:type="character" w:styleId="926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927">
    <w:name w:val="Book Title"/>
    <w:uiPriority w:val="33"/>
    <w:qFormat/>
    <w:rPr>
      <w:b/>
      <w:bCs/>
      <w:smallCaps/>
      <w:spacing w:val="5"/>
    </w:rPr>
  </w:style>
  <w:style w:type="paragraph" w:styleId="928">
    <w:name w:val="footnote text"/>
    <w:link w:val="929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929" w:customStyle="1">
    <w:name w:val="Текст сноски Знак"/>
    <w:link w:val="928"/>
    <w:uiPriority w:val="99"/>
    <w:semiHidden/>
    <w:rPr>
      <w:sz w:val="20"/>
      <w:szCs w:val="20"/>
    </w:rPr>
  </w:style>
  <w:style w:type="character" w:styleId="930">
    <w:name w:val="footnote reference"/>
    <w:uiPriority w:val="99"/>
    <w:semiHidden/>
    <w:unhideWhenUsed/>
    <w:rPr>
      <w:vertAlign w:val="superscript"/>
    </w:rPr>
  </w:style>
  <w:style w:type="paragraph" w:styleId="931">
    <w:name w:val="endnote text"/>
    <w:link w:val="93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932" w:customStyle="1">
    <w:name w:val="Текст концевой сноски Знак"/>
    <w:link w:val="931"/>
    <w:uiPriority w:val="99"/>
    <w:semiHidden/>
    <w:rPr>
      <w:sz w:val="20"/>
      <w:szCs w:val="20"/>
    </w:rPr>
  </w:style>
  <w:style w:type="character" w:styleId="933">
    <w:name w:val="endnote reference"/>
    <w:uiPriority w:val="99"/>
    <w:semiHidden/>
    <w:unhideWhenUsed/>
    <w:rPr>
      <w:vertAlign w:val="superscript"/>
    </w:rPr>
  </w:style>
  <w:style w:type="paragraph" w:styleId="934">
    <w:name w:val="Plain Text"/>
    <w:link w:val="935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styleId="935" w:customStyle="1">
    <w:name w:val="Текст Знак"/>
    <w:link w:val="934"/>
    <w:uiPriority w:val="99"/>
    <w:rPr>
      <w:rFonts w:ascii="Courier New" w:hAnsi="Courier New" w:cs="Courier New"/>
      <w:sz w:val="21"/>
      <w:szCs w:val="21"/>
    </w:rPr>
  </w:style>
  <w:style w:type="paragraph" w:styleId="936">
    <w:name w:val="Header"/>
    <w:link w:val="937"/>
    <w:uiPriority w:val="99"/>
    <w:unhideWhenUsed/>
    <w:pPr>
      <w:spacing w:after="0" w:line="240" w:lineRule="auto"/>
    </w:pPr>
  </w:style>
  <w:style w:type="character" w:styleId="937" w:customStyle="1">
    <w:name w:val="Верхний колонтитул Знак"/>
    <w:link w:val="936"/>
    <w:uiPriority w:val="99"/>
  </w:style>
  <w:style w:type="paragraph" w:styleId="938">
    <w:name w:val="Footer"/>
    <w:link w:val="939"/>
    <w:uiPriority w:val="99"/>
    <w:unhideWhenUsed/>
    <w:pPr>
      <w:spacing w:after="0" w:line="240" w:lineRule="auto"/>
    </w:pPr>
  </w:style>
  <w:style w:type="character" w:styleId="939" w:customStyle="1">
    <w:name w:val="Нижний колонтитул Знак"/>
    <w:link w:val="938"/>
    <w:uiPriority w:val="99"/>
  </w:style>
  <w:style w:type="paragraph" w:styleId="940">
    <w:name w:val="Caption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941">
    <w:name w:val="No Spacing"/>
    <w:link w:val="953"/>
    <w:uiPriority w:val="1"/>
    <w:qFormat/>
    <w:pPr>
      <w:spacing w:after="0" w:line="240" w:lineRule="auto"/>
    </w:pPr>
    <w:rPr>
      <w:rFonts w:eastAsiaTheme="minorEastAsia"/>
      <w:lang w:eastAsia="ru-RU"/>
    </w:rPr>
  </w:style>
  <w:style w:type="character" w:styleId="942">
    <w:name w:val="Hyperlink"/>
    <w:basedOn w:val="749"/>
    <w:uiPriority w:val="99"/>
    <w:unhideWhenUsed/>
    <w:rPr>
      <w:color w:val="0563c1" w:themeColor="hyperlink"/>
      <w:u w:val="single"/>
    </w:rPr>
  </w:style>
  <w:style w:type="character" w:styleId="943">
    <w:name w:val="Strong"/>
    <w:basedOn w:val="749"/>
    <w:uiPriority w:val="22"/>
    <w:qFormat/>
    <w:rPr>
      <w:b/>
      <w:bCs/>
    </w:rPr>
  </w:style>
  <w:style w:type="paragraph" w:styleId="944">
    <w:name w:val="List Paragraph"/>
    <w:basedOn w:val="739"/>
    <w:link w:val="961"/>
    <w:uiPriority w:val="34"/>
    <w:qFormat/>
    <w:pPr>
      <w:contextualSpacing/>
      <w:ind w:left="720"/>
    </w:pPr>
  </w:style>
  <w:style w:type="table" w:styleId="945">
    <w:name w:val="Table Grid"/>
    <w:basedOn w:val="750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46">
    <w:name w:val="Balloon Text"/>
    <w:basedOn w:val="739"/>
    <w:link w:val="94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947" w:customStyle="1">
    <w:name w:val="Текст выноски Знак"/>
    <w:basedOn w:val="749"/>
    <w:link w:val="946"/>
    <w:uiPriority w:val="99"/>
    <w:semiHidden/>
    <w:rPr>
      <w:rFonts w:ascii="Segoe UI" w:hAnsi="Segoe UI" w:cs="Segoe UI"/>
      <w:sz w:val="18"/>
      <w:szCs w:val="18"/>
    </w:rPr>
  </w:style>
  <w:style w:type="character" w:styleId="948">
    <w:name w:val="annotation reference"/>
    <w:basedOn w:val="749"/>
    <w:uiPriority w:val="99"/>
    <w:semiHidden/>
    <w:unhideWhenUsed/>
    <w:rPr>
      <w:sz w:val="16"/>
      <w:szCs w:val="16"/>
    </w:rPr>
  </w:style>
  <w:style w:type="paragraph" w:styleId="949">
    <w:name w:val="annotation text"/>
    <w:basedOn w:val="739"/>
    <w:link w:val="950"/>
    <w:uiPriority w:val="99"/>
    <w:unhideWhenUsed/>
    <w:pPr>
      <w:spacing w:line="240" w:lineRule="auto"/>
    </w:pPr>
    <w:rPr>
      <w:sz w:val="20"/>
      <w:szCs w:val="20"/>
    </w:rPr>
  </w:style>
  <w:style w:type="character" w:styleId="950" w:customStyle="1">
    <w:name w:val="Текст примечания Знак"/>
    <w:basedOn w:val="749"/>
    <w:link w:val="949"/>
    <w:uiPriority w:val="99"/>
    <w:rPr>
      <w:sz w:val="20"/>
      <w:szCs w:val="20"/>
    </w:rPr>
  </w:style>
  <w:style w:type="paragraph" w:styleId="951">
    <w:name w:val="annotation subject"/>
    <w:basedOn w:val="949"/>
    <w:next w:val="949"/>
    <w:link w:val="952"/>
    <w:uiPriority w:val="99"/>
    <w:semiHidden/>
    <w:unhideWhenUsed/>
    <w:rPr>
      <w:b/>
      <w:bCs/>
    </w:rPr>
  </w:style>
  <w:style w:type="character" w:styleId="952" w:customStyle="1">
    <w:name w:val="Тема примечания Знак"/>
    <w:basedOn w:val="950"/>
    <w:link w:val="951"/>
    <w:uiPriority w:val="99"/>
    <w:semiHidden/>
    <w:rPr>
      <w:b/>
      <w:bCs/>
      <w:sz w:val="20"/>
      <w:szCs w:val="20"/>
    </w:rPr>
  </w:style>
  <w:style w:type="character" w:styleId="953" w:customStyle="1">
    <w:name w:val="Без интервала Знак"/>
    <w:basedOn w:val="749"/>
    <w:link w:val="941"/>
    <w:uiPriority w:val="1"/>
    <w:rPr>
      <w:rFonts w:eastAsiaTheme="minorEastAsia"/>
      <w:lang w:eastAsia="ru-RU"/>
    </w:rPr>
  </w:style>
  <w:style w:type="paragraph" w:styleId="954">
    <w:name w:val="Body Text"/>
    <w:basedOn w:val="739"/>
    <w:link w:val="955"/>
    <w:uiPriority w:val="1"/>
    <w:qFormat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 w:bidi="ru-RU"/>
    </w:rPr>
  </w:style>
  <w:style w:type="character" w:styleId="955" w:customStyle="1">
    <w:name w:val="Основной текст Знак"/>
    <w:basedOn w:val="749"/>
    <w:link w:val="954"/>
    <w:uiPriority w:val="1"/>
    <w:rPr>
      <w:rFonts w:ascii="Times New Roman" w:hAnsi="Times New Roman" w:eastAsia="Times New Roman" w:cs="Times New Roman"/>
      <w:sz w:val="24"/>
      <w:szCs w:val="24"/>
      <w:lang w:eastAsia="ru-RU" w:bidi="ru-RU"/>
    </w:rPr>
  </w:style>
  <w:style w:type="character" w:styleId="956" w:customStyle="1">
    <w:name w:val="Неразрешенное упоминание1"/>
    <w:basedOn w:val="749"/>
    <w:uiPriority w:val="99"/>
    <w:semiHidden/>
    <w:unhideWhenUsed/>
    <w:rPr>
      <w:color w:val="605e5c"/>
      <w:shd w:val="clear" w:color="auto" w:fill="e1dfdd"/>
    </w:rPr>
  </w:style>
  <w:style w:type="character" w:styleId="957" w:customStyle="1">
    <w:name w:val="Field-content"/>
    <w:basedOn w:val="749"/>
    <w:uiPriority w:val="99"/>
  </w:style>
  <w:style w:type="character" w:styleId="958" w:customStyle="1">
    <w:name w:val="Заголовок 1 Знак"/>
    <w:basedOn w:val="749"/>
    <w:link w:val="740"/>
    <w:uiPriority w:val="9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959" w:customStyle="1">
    <w:name w:val="Заголовок 3 Знак"/>
    <w:basedOn w:val="749"/>
    <w:link w:val="742"/>
    <w:uiPriority w:val="9"/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paragraph" w:styleId="960">
    <w:name w:val="Normal (Web)"/>
    <w:basedOn w:val="739"/>
    <w:uiPriority w:val="99"/>
    <w:semiHidden/>
    <w:unhideWhenUsed/>
    <w:pPr>
      <w:spacing w:before="100" w:after="10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61" w:customStyle="1">
    <w:name w:val="Абзац списка Знак"/>
    <w:basedOn w:val="749"/>
    <w:link w:val="944"/>
    <w:uiPriority w:val="34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s://gynecology.school/events/rak-molochnoy-zhelezy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EDCD5-292E-4BF1-BBDD-F38AA25A1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>SPecialiST RePack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Гречишкина Мария</cp:lastModifiedBy>
  <cp:revision>9</cp:revision>
  <dcterms:created xsi:type="dcterms:W3CDTF">2024-11-06T10:14:00Z</dcterms:created>
  <dcterms:modified xsi:type="dcterms:W3CDTF">2024-11-08T07:08:55Z</dcterms:modified>
</cp:coreProperties>
</file>